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tbl>
      <w:tblPr>
        <w:tblW w:w="8682" w:type="dxa"/>
        <w:jc w:val="left"/>
        <w:tblInd w:w="0" w:type="dxa"/>
        <w:tblCellMar>
          <w:top w:w="28" w:type="dxa"/>
          <w:left w:w="28" w:type="dxa"/>
          <w:bottom w:w="28" w:type="dxa"/>
          <w:right w:w="28" w:type="dxa"/>
        </w:tblCellMar>
      </w:tblPr>
      <w:tblGrid>
        <w:gridCol w:w="124"/>
        <w:gridCol w:w="109"/>
        <w:gridCol w:w="109"/>
        <w:gridCol w:w="2437"/>
        <w:gridCol w:w="2437"/>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spacing w:lineRule="auto" w:line="288" w:before="80" w:after="283"/>
        <w:jc w:val="center"/>
        <w:rPr>
          <w:rFonts w:ascii="Times New Roman;sans-serif" w:hAnsi="Times New Roman;sans-serif"/>
          <w:b/>
          <w:color w:val="000000"/>
          <w:sz w:val="14"/>
        </w:rPr>
      </w:pPr>
      <w:r>
        <w:rPr>
          <w:rFonts w:ascii="Times New Roman;sans-serif" w:hAnsi="Times New Roman;sans-serif"/>
          <w:b/>
          <w:color w:val="000000"/>
          <w:sz w:val="14"/>
        </w:rPr>
        <w:t xml:space="preserve">For the fiscal year ended December 31, 2021 </w:t>
      </w:r>
    </w:p>
    <w:p>
      <w:pPr>
        <w:pStyle w:val="TextBody"/>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0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For the transition period from        to        </w:t>
      </w:r>
    </w:p>
    <w:p>
      <w:pPr>
        <w:pStyle w:val="TextBody"/>
        <w:spacing w:lineRule="auto" w:line="288" w:before="6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 001-35666</w:t>
      </w:r>
    </w:p>
    <w:p>
      <w:pPr>
        <w:pStyle w:val="TextBody"/>
        <w:spacing w:lineRule="auto" w:line="288" w:before="80" w:after="283"/>
        <w:jc w:val="center"/>
        <w:rPr>
          <w:rFonts w:ascii="Times New Roman;sans-serif" w:hAnsi="Times New Roman;sans-serif"/>
          <w:b/>
          <w:color w:val="000000"/>
          <w:sz w:val="30"/>
        </w:rPr>
      </w:pPr>
      <w:r>
        <w:rPr>
          <w:rFonts w:ascii="Times New Roman;sans-serif" w:hAnsi="Times New Roman;sans-serif"/>
          <w:b/>
          <w:color w:val="000000"/>
          <w:sz w:val="30"/>
        </w:rPr>
        <w:t>Summit Midstream Partners, LP</w:t>
      </w:r>
    </w:p>
    <w:p>
      <w:pPr>
        <w:pStyle w:val="TextBody"/>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Delaware</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910 Louisiana Street, Suite 4200</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Houston, TX</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45-5200503</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p>
      <w:pPr>
        <w:pStyle w:val="TextBody"/>
        <w:spacing w:before="120" w:after="283"/>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77002</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(832) 413-4770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Act:</w:t>
      </w:r>
    </w:p>
    <w:tbl>
      <w:tblPr>
        <w:tblW w:w="6163" w:type="dxa"/>
        <w:jc w:val="left"/>
        <w:tblInd w:w="0" w:type="dxa"/>
        <w:tblCellMar>
          <w:top w:w="28" w:type="dxa"/>
          <w:left w:w="28" w:type="dxa"/>
          <w:bottom w:w="28" w:type="dxa"/>
          <w:right w:w="28" w:type="dxa"/>
        </w:tblCellMar>
      </w:tblPr>
      <w:tblGrid>
        <w:gridCol w:w="520"/>
        <w:gridCol w:w="459"/>
        <w:gridCol w:w="461"/>
        <w:gridCol w:w="484"/>
        <w:gridCol w:w="484"/>
        <w:gridCol w:w="486"/>
        <w:gridCol w:w="956"/>
        <w:gridCol w:w="956"/>
        <w:gridCol w:w="1357"/>
      </w:tblGrid>
      <w:tr>
        <w:trPr/>
        <w:tc>
          <w:tcPr>
            <w:tcW w:w="52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4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SMLP</w:t>
            </w:r>
          </w:p>
        </w:tc>
        <w:tc>
          <w:tcPr>
            <w:tcW w:w="32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spacing w:lineRule="auto" w:line="288" w:before="100" w:after="283"/>
        <w:rPr/>
      </w:pPr>
      <w:r>
        <w:rPr>
          <w:rFonts w:ascii="Times New Roman;sans-serif" w:hAnsi="Times New Roman;sans-serif"/>
          <w:b w:val="false"/>
          <w:color w:val="000000"/>
          <w:sz w:val="16"/>
        </w:rPr>
        <w:t>Indicate by check mark if the registrant is a well-known seasoned issuer, as defined in Rule 405 of the Securities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spacing w:lineRule="auto" w:line="288" w:before="100" w:after="283"/>
        <w:rPr/>
      </w:pPr>
      <w:r>
        <w:rPr>
          <w:rFonts w:ascii="Times New Roman;sans-serif" w:hAnsi="Times New Roman;sans-serif"/>
          <w:b w:val="false"/>
          <w:color w:val="000000"/>
          <w:sz w:val="16"/>
        </w:rPr>
        <w:t>Indicate by check mark if the registrant is not required to file reports pursuant to Section 13 or 15(d) of the Securities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spacing w:lineRule="auto" w:line="288" w:before="100" w:after="283"/>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spacing w:lineRule="auto" w:line="288" w:before="100" w:after="283"/>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100" w:after="283"/>
        <w:rPr/>
      </w:pPr>
      <w:r>
        <w:rPr>
          <w:rFonts w:ascii="Times New Roman;sans-serif" w:hAnsi="Times New Roman;sans-serif"/>
          <w:b w:val="false"/>
          <w:color w:val="000000"/>
          <w:sz w:val="16"/>
        </w:rPr>
        <w:t>Indicate by check mark whether the registrant is a shell company (as defined in Rule 12b-2 of the Act). ☐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common units held by non-affiliates of the registrant as of June 30, 2021 was $204,910,000.</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3070" w:type="dxa"/>
        <w:jc w:val="left"/>
        <w:tblInd w:w="0" w:type="dxa"/>
        <w:tblCellMar>
          <w:top w:w="28" w:type="dxa"/>
          <w:left w:w="28" w:type="dxa"/>
          <w:bottom w:w="28" w:type="dxa"/>
          <w:right w:w="28" w:type="dxa"/>
        </w:tblCellMar>
      </w:tblPr>
      <w:tblGrid>
        <w:gridCol w:w="421"/>
        <w:gridCol w:w="369"/>
        <w:gridCol w:w="379"/>
        <w:gridCol w:w="109"/>
        <w:gridCol w:w="109"/>
        <w:gridCol w:w="109"/>
        <w:gridCol w:w="459"/>
        <w:gridCol w:w="459"/>
        <w:gridCol w:w="656"/>
      </w:tblGrid>
      <w:tr>
        <w:trPr/>
        <w:tc>
          <w:tcPr>
            <w:tcW w:w="42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 February 15, 2022</w:t>
            </w:r>
          </w:p>
        </w:tc>
      </w:tr>
      <w:tr>
        <w:trPr/>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Units</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10,023,709</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spacing w:lineRule="auto" w:line="288" w:before="100" w:after="283"/>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its 2022 Annual Meeting of Limited Partners, which will be filed with the Securities and Exchange Commission within 120 days of December 31, 2021, are incorporated by reference into Part III of this Annual Report on Form 10-K where indicated.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left"/>
        <w:tblInd w:w="0" w:type="dxa"/>
        <w:tblCellMar>
          <w:top w:w="28" w:type="dxa"/>
          <w:left w:w="28" w:type="dxa"/>
          <w:bottom w:w="28" w:type="dxa"/>
          <w:right w:w="28" w:type="dxa"/>
        </w:tblCellMar>
      </w:tblPr>
      <w:tblGrid>
        <w:gridCol w:w="290"/>
        <w:gridCol w:w="255"/>
        <w:gridCol w:w="257"/>
        <w:gridCol w:w="2979"/>
        <w:gridCol w:w="2969"/>
        <w:gridCol w:w="2986"/>
        <w:gridCol w:w="136"/>
        <w:gridCol w:w="136"/>
        <w:gridCol w:w="197"/>
      </w:tblGrid>
      <w:tr>
        <w:trPr/>
        <w:tc>
          <w:tcPr>
            <w:tcW w:w="2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97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3">
              <w:r>
                <w:rPr>
                  <w:rStyle w:val="InternetLink"/>
                  <w:rFonts w:ascii="Times New Roman;sans-serif" w:hAnsi="Times New Roman;sans-serif"/>
                  <w:b w:val="false"/>
                  <w:color w:val="0000FF"/>
                  <w:sz w:val="20"/>
                  <w:u w:val="single"/>
                </w:rPr>
                <w:t>PART I</w:t>
              </w:r>
            </w:hyperlink>
          </w:p>
        </w:tc>
        <w:tc>
          <w:tcPr>
            <w:tcW w:w="893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3">
              <w:r>
                <w:rPr>
                  <w:rStyle w:val="InternetLink"/>
                  <w:rFonts w:ascii="Times New Roman;sans-serif" w:hAnsi="Times New Roman;sans-serif"/>
                  <w:b w:val="false"/>
                  <w:color w:val="0000FF"/>
                  <w:sz w:val="20"/>
                  <w:u w:val="single"/>
                </w:rPr>
                <w:t>12</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6">
              <w:r>
                <w:rPr>
                  <w:rStyle w:val="InternetLink"/>
                  <w:rFonts w:ascii="Times New Roman;sans-serif" w:hAnsi="Times New Roman;sans-serif"/>
                  <w:b w:val="false"/>
                  <w:strike w:val="false"/>
                  <w:dstrike w:val="false"/>
                  <w:color w:val="000000"/>
                  <w:sz w:val="20"/>
                  <w:u w:val="none"/>
                  <w:effect w:val="none"/>
                </w:rPr>
                <w:t>Item 1.</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6">
              <w:r>
                <w:rPr>
                  <w:rStyle w:val="InternetLink"/>
                  <w:rFonts w:ascii="Times New Roman;sans-serif" w:hAnsi="Times New Roman;sans-serif"/>
                  <w:b w:val="false"/>
                  <w:color w:val="0000FF"/>
                  <w:sz w:val="20"/>
                  <w:u w:val="single"/>
                </w:rPr>
                <w:t>Business.</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6">
              <w:r>
                <w:rPr>
                  <w:rStyle w:val="InternetLink"/>
                  <w:rFonts w:ascii="Times New Roman;sans-serif" w:hAnsi="Times New Roman;sans-serif"/>
                  <w:b w:val="false"/>
                  <w:color w:val="0000FF"/>
                  <w:sz w:val="20"/>
                  <w:u w:val="single"/>
                </w:rPr>
                <w:t>12</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9">
              <w:r>
                <w:rPr>
                  <w:rStyle w:val="InternetLink"/>
                  <w:rFonts w:ascii="Times New Roman;sans-serif" w:hAnsi="Times New Roman;sans-serif"/>
                  <w:b w:val="false"/>
                  <w:strike w:val="false"/>
                  <w:dstrike w:val="false"/>
                  <w:color w:val="000000"/>
                  <w:sz w:val="20"/>
                  <w:u w:val="none"/>
                  <w:effect w:val="none"/>
                </w:rPr>
                <w:t>Item 1A.</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9">
              <w:r>
                <w:rPr>
                  <w:rStyle w:val="InternetLink"/>
                  <w:rFonts w:ascii="Times New Roman;sans-serif" w:hAnsi="Times New Roman;sans-serif"/>
                  <w:b w:val="false"/>
                  <w:color w:val="0000FF"/>
                  <w:sz w:val="20"/>
                  <w:u w:val="single"/>
                </w:rPr>
                <w:t>Risk Factors.</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9">
              <w:r>
                <w:rPr>
                  <w:rStyle w:val="InternetLink"/>
                  <w:rFonts w:ascii="Times New Roman;sans-serif" w:hAnsi="Times New Roman;sans-serif"/>
                  <w:b w:val="false"/>
                  <w:color w:val="0000FF"/>
                  <w:sz w:val="20"/>
                  <w:u w:val="single"/>
                </w:rPr>
                <w:t>29</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2">
              <w:r>
                <w:rPr>
                  <w:rStyle w:val="InternetLink"/>
                  <w:rFonts w:ascii="Times New Roman;sans-serif" w:hAnsi="Times New Roman;sans-serif"/>
                  <w:b w:val="false"/>
                  <w:strike w:val="false"/>
                  <w:dstrike w:val="false"/>
                  <w:color w:val="000000"/>
                  <w:sz w:val="20"/>
                  <w:u w:val="none"/>
                  <w:effect w:val="none"/>
                </w:rPr>
                <w:t>Item 1B.</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2">
              <w:r>
                <w:rPr>
                  <w:rStyle w:val="InternetLink"/>
                  <w:rFonts w:ascii="Times New Roman;sans-serif" w:hAnsi="Times New Roman;sans-serif"/>
                  <w:b w:val="false"/>
                  <w:color w:val="0000FF"/>
                  <w:sz w:val="20"/>
                  <w:u w:val="single"/>
                </w:rPr>
                <w:t>Unresolved Staff Comments.</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2">
              <w:r>
                <w:rPr>
                  <w:rStyle w:val="InternetLink"/>
                  <w:rFonts w:ascii="Times New Roman;sans-serif" w:hAnsi="Times New Roman;sans-serif"/>
                  <w:b w:val="false"/>
                  <w:color w:val="0000FF"/>
                  <w:sz w:val="20"/>
                  <w:u w:val="single"/>
                </w:rPr>
                <w:t>60</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5">
              <w:r>
                <w:rPr>
                  <w:rStyle w:val="InternetLink"/>
                  <w:rFonts w:ascii="Times New Roman;sans-serif" w:hAnsi="Times New Roman;sans-serif"/>
                  <w:b w:val="false"/>
                  <w:strike w:val="false"/>
                  <w:dstrike w:val="false"/>
                  <w:color w:val="000000"/>
                  <w:sz w:val="20"/>
                  <w:u w:val="none"/>
                  <w:effect w:val="none"/>
                </w:rPr>
                <w:t>Item 2.</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5">
              <w:r>
                <w:rPr>
                  <w:rStyle w:val="InternetLink"/>
                  <w:rFonts w:ascii="Times New Roman;sans-serif" w:hAnsi="Times New Roman;sans-serif"/>
                  <w:b w:val="false"/>
                  <w:color w:val="0000FF"/>
                  <w:sz w:val="20"/>
                  <w:u w:val="single"/>
                </w:rPr>
                <w:t>Properties.</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5">
              <w:r>
                <w:rPr>
                  <w:rStyle w:val="InternetLink"/>
                  <w:rFonts w:ascii="Times New Roman;sans-serif" w:hAnsi="Times New Roman;sans-serif"/>
                  <w:b w:val="false"/>
                  <w:color w:val="0000FF"/>
                  <w:sz w:val="20"/>
                  <w:u w:val="single"/>
                </w:rPr>
                <w:t>60</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8">
              <w:r>
                <w:rPr>
                  <w:rStyle w:val="InternetLink"/>
                  <w:rFonts w:ascii="Times New Roman;sans-serif" w:hAnsi="Times New Roman;sans-serif"/>
                  <w:b w:val="false"/>
                  <w:strike w:val="false"/>
                  <w:dstrike w:val="false"/>
                  <w:color w:val="000000"/>
                  <w:sz w:val="20"/>
                  <w:u w:val="none"/>
                  <w:effect w:val="none"/>
                </w:rPr>
                <w:t>Item 3.</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8">
              <w:r>
                <w:rPr>
                  <w:rStyle w:val="InternetLink"/>
                  <w:rFonts w:ascii="Times New Roman;sans-serif" w:hAnsi="Times New Roman;sans-serif"/>
                  <w:b w:val="false"/>
                  <w:color w:val="0000FF"/>
                  <w:sz w:val="20"/>
                  <w:u w:val="single"/>
                </w:rPr>
                <w:t>Legal Proceedings.</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8">
              <w:r>
                <w:rPr>
                  <w:rStyle w:val="InternetLink"/>
                  <w:rFonts w:ascii="Times New Roman;sans-serif" w:hAnsi="Times New Roman;sans-serif"/>
                  <w:b w:val="false"/>
                  <w:color w:val="0000FF"/>
                  <w:sz w:val="20"/>
                  <w:u w:val="single"/>
                </w:rPr>
                <w:t>60</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31">
              <w:r>
                <w:rPr>
                  <w:rStyle w:val="InternetLink"/>
                  <w:rFonts w:ascii="Times New Roman;sans-serif" w:hAnsi="Times New Roman;sans-serif"/>
                  <w:b w:val="false"/>
                  <w:strike w:val="false"/>
                  <w:dstrike w:val="false"/>
                  <w:color w:val="000000"/>
                  <w:sz w:val="20"/>
                  <w:u w:val="none"/>
                  <w:effect w:val="none"/>
                </w:rPr>
                <w:t>Item 4.</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31">
              <w:r>
                <w:rPr>
                  <w:rStyle w:val="InternetLink"/>
                  <w:rFonts w:ascii="Times New Roman;sans-serif" w:hAnsi="Times New Roman;sans-serif"/>
                  <w:b w:val="false"/>
                  <w:color w:val="0000FF"/>
                  <w:sz w:val="20"/>
                  <w:u w:val="single"/>
                </w:rPr>
                <w:t>Mine Safety Disclosures.</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31">
              <w:r>
                <w:rPr>
                  <w:rStyle w:val="InternetLink"/>
                  <w:rFonts w:ascii="Times New Roman;sans-serif" w:hAnsi="Times New Roman;sans-serif"/>
                  <w:b w:val="false"/>
                  <w:color w:val="0000FF"/>
                  <w:sz w:val="20"/>
                  <w:u w:val="single"/>
                </w:rPr>
                <w:t>61</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34">
              <w:r>
                <w:rPr>
                  <w:rStyle w:val="InternetLink"/>
                  <w:rFonts w:ascii="Times New Roman;sans-serif" w:hAnsi="Times New Roman;sans-serif"/>
                  <w:b w:val="false"/>
                  <w:color w:val="0000FF"/>
                  <w:sz w:val="20"/>
                  <w:u w:val="single"/>
                </w:rPr>
                <w:t>PART II</w:t>
              </w:r>
            </w:hyperlink>
          </w:p>
        </w:tc>
        <w:tc>
          <w:tcPr>
            <w:tcW w:w="893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34">
              <w:r>
                <w:rPr>
                  <w:rStyle w:val="InternetLink"/>
                  <w:rFonts w:ascii="Times New Roman;sans-serif" w:hAnsi="Times New Roman;sans-serif"/>
                  <w:b w:val="false"/>
                  <w:color w:val="0000FF"/>
                  <w:sz w:val="20"/>
                  <w:u w:val="single"/>
                </w:rPr>
                <w:t>62</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37">
              <w:r>
                <w:rPr>
                  <w:rStyle w:val="InternetLink"/>
                  <w:rFonts w:ascii="Times New Roman;sans-serif" w:hAnsi="Times New Roman;sans-serif"/>
                  <w:b w:val="false"/>
                  <w:strike w:val="false"/>
                  <w:dstrike w:val="false"/>
                  <w:color w:val="000000"/>
                  <w:sz w:val="20"/>
                  <w:u w:val="none"/>
                  <w:effect w:val="none"/>
                </w:rPr>
                <w:t>Item 5.</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37">
              <w:r>
                <w:rPr>
                  <w:rStyle w:val="InternetLink"/>
                  <w:rFonts w:ascii="Times New Roman;sans-serif" w:hAnsi="Times New Roman;sans-serif"/>
                  <w:b w:val="false"/>
                  <w:color w:val="0000FF"/>
                  <w:sz w:val="20"/>
                  <w:u w:val="single"/>
                </w:rPr>
                <w:t>62</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40">
              <w:r>
                <w:rPr>
                  <w:rStyle w:val="InternetLink"/>
                  <w:rFonts w:ascii="Times New Roman;sans-serif" w:hAnsi="Times New Roman;sans-serif"/>
                  <w:b w:val="false"/>
                  <w:strike w:val="false"/>
                  <w:dstrike w:val="false"/>
                  <w:color w:val="000000"/>
                  <w:sz w:val="20"/>
                  <w:u w:val="none"/>
                  <w:effect w:val="none"/>
                </w:rPr>
                <w:t>Item 7.</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40">
              <w:r>
                <w:rPr>
                  <w:rStyle w:val="InternetLink"/>
                  <w:rFonts w:ascii="Times New Roman;sans-serif" w:hAnsi="Times New Roman;sans-serif"/>
                  <w:b w:val="false"/>
                  <w:color w:val="0000FF"/>
                  <w:sz w:val="20"/>
                  <w:u w:val="single"/>
                </w:rPr>
                <w:t>65</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00">
              <w:r>
                <w:rPr>
                  <w:rStyle w:val="InternetLink"/>
                  <w:rFonts w:ascii="Times New Roman;sans-serif" w:hAnsi="Times New Roman;sans-serif"/>
                  <w:b w:val="false"/>
                  <w:strike w:val="false"/>
                  <w:dstrike w:val="false"/>
                  <w:color w:val="000000"/>
                  <w:sz w:val="20"/>
                  <w:u w:val="none"/>
                  <w:effect w:val="none"/>
                </w:rPr>
                <w:t>Item 7A.</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00">
              <w:r>
                <w:rPr>
                  <w:rStyle w:val="InternetLink"/>
                  <w:rFonts w:ascii="Times New Roman;sans-serif" w:hAnsi="Times New Roman;sans-serif"/>
                  <w:b w:val="false"/>
                  <w:color w:val="0000FF"/>
                  <w:sz w:val="20"/>
                  <w:u w:val="single"/>
                </w:rPr>
                <w:t>Quantitative and Qualitative Disclosures about Market Risk.</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00">
              <w:r>
                <w:rPr>
                  <w:rStyle w:val="InternetLink"/>
                  <w:rFonts w:ascii="Times New Roman;sans-serif" w:hAnsi="Times New Roman;sans-serif"/>
                  <w:b w:val="false"/>
                  <w:color w:val="0000FF"/>
                  <w:sz w:val="20"/>
                  <w:u w:val="single"/>
                </w:rPr>
                <w:t>89</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03">
              <w:r>
                <w:rPr>
                  <w:rStyle w:val="InternetLink"/>
                  <w:rFonts w:ascii="Times New Roman;sans-serif" w:hAnsi="Times New Roman;sans-serif"/>
                  <w:b w:val="false"/>
                  <w:strike w:val="false"/>
                  <w:dstrike w:val="false"/>
                  <w:color w:val="000000"/>
                  <w:sz w:val="20"/>
                  <w:u w:val="none"/>
                  <w:effect w:val="none"/>
                </w:rPr>
                <w:t>Item 8.</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03">
              <w:r>
                <w:rPr>
                  <w:rStyle w:val="InternetLink"/>
                  <w:rFonts w:ascii="Times New Roman;sans-serif" w:hAnsi="Times New Roman;sans-serif"/>
                  <w:b w:val="false"/>
                  <w:color w:val="0000FF"/>
                  <w:sz w:val="20"/>
                  <w:u w:val="single"/>
                </w:rPr>
                <w:t>Financial Statements and Supplementary Data.</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03">
              <w:r>
                <w:rPr>
                  <w:rStyle w:val="InternetLink"/>
                  <w:rFonts w:ascii="Times New Roman;sans-serif" w:hAnsi="Times New Roman;sans-serif"/>
                  <w:b w:val="false"/>
                  <w:color w:val="0000FF"/>
                  <w:sz w:val="20"/>
                  <w:u w:val="single"/>
                </w:rPr>
                <w:t>90</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20">
              <w:r>
                <w:rPr>
                  <w:rStyle w:val="InternetLink"/>
                  <w:rFonts w:ascii="Times New Roman;sans-serif" w:hAnsi="Times New Roman;sans-serif"/>
                  <w:b w:val="false"/>
                  <w:strike w:val="false"/>
                  <w:dstrike w:val="false"/>
                  <w:color w:val="000000"/>
                  <w:sz w:val="20"/>
                  <w:u w:val="none"/>
                  <w:effect w:val="none"/>
                </w:rPr>
                <w:t>Item 9.</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2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20">
              <w:r>
                <w:rPr>
                  <w:rStyle w:val="InternetLink"/>
                  <w:rFonts w:ascii="Times New Roman;sans-serif" w:hAnsi="Times New Roman;sans-serif"/>
                  <w:b w:val="false"/>
                  <w:color w:val="0000FF"/>
                  <w:sz w:val="20"/>
                  <w:u w:val="single"/>
                </w:rPr>
                <w:t>125</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23">
              <w:r>
                <w:rPr>
                  <w:rStyle w:val="InternetLink"/>
                  <w:rFonts w:ascii="Times New Roman;sans-serif" w:hAnsi="Times New Roman;sans-serif"/>
                  <w:b w:val="false"/>
                  <w:strike w:val="false"/>
                  <w:dstrike w:val="false"/>
                  <w:color w:val="000000"/>
                  <w:sz w:val="20"/>
                  <w:u w:val="none"/>
                  <w:effect w:val="none"/>
                </w:rPr>
                <w:t>Item 9A.</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23">
              <w:r>
                <w:rPr>
                  <w:rStyle w:val="InternetLink"/>
                  <w:rFonts w:ascii="Times New Roman;sans-serif" w:hAnsi="Times New Roman;sans-serif"/>
                  <w:b w:val="false"/>
                  <w:color w:val="0000FF"/>
                  <w:sz w:val="20"/>
                  <w:u w:val="single"/>
                </w:rPr>
                <w:t>Controls and Procedures.</w:t>
              </w:r>
            </w:hyperlink>
          </w:p>
        </w:tc>
        <w:tc>
          <w:tcPr>
            <w:tcW w:w="469" w:type="dxa"/>
            <w:gridSpan w:val="3"/>
            <w:tcBorders/>
            <w:shd w:fill="CFF0FC"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23">
              <w:r>
                <w:rPr>
                  <w:rStyle w:val="InternetLink"/>
                  <w:rFonts w:ascii="Times New Roman;sans-serif" w:hAnsi="Times New Roman;sans-serif"/>
                  <w:b w:val="false"/>
                  <w:color w:val="0000FF"/>
                  <w:sz w:val="20"/>
                  <w:u w:val="single"/>
                </w:rPr>
                <w:t>125</w:t>
              </w:r>
            </w:hyperlink>
          </w:p>
        </w:tc>
      </w:tr>
      <w:tr>
        <w:trPr/>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26">
              <w:r>
                <w:rPr>
                  <w:rStyle w:val="InternetLink"/>
                  <w:rFonts w:ascii="Times New Roman;sans-serif" w:hAnsi="Times New Roman;sans-serif"/>
                  <w:b w:val="false"/>
                  <w:strike w:val="false"/>
                  <w:dstrike w:val="false"/>
                  <w:color w:val="000000"/>
                  <w:sz w:val="20"/>
                  <w:u w:val="none"/>
                  <w:effect w:val="none"/>
                </w:rPr>
                <w:t>Item 9B.</w:t>
              </w:r>
            </w:hyperlink>
          </w:p>
        </w:tc>
        <w:tc>
          <w:tcPr>
            <w:tcW w:w="89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26">
              <w:r>
                <w:rPr>
                  <w:rStyle w:val="InternetLink"/>
                  <w:rFonts w:ascii="Times New Roman;sans-serif" w:hAnsi="Times New Roman;sans-serif"/>
                  <w:b w:val="false"/>
                  <w:color w:val="0000FF"/>
                  <w:sz w:val="20"/>
                  <w:u w:val="single"/>
                </w:rPr>
                <w:t>Other Information.</w:t>
              </w:r>
            </w:hyperlink>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26">
              <w:r>
                <w:rPr>
                  <w:rStyle w:val="InternetLink"/>
                  <w:rFonts w:ascii="Times New Roman;sans-serif" w:hAnsi="Times New Roman;sans-serif"/>
                  <w:b w:val="false"/>
                  <w:color w:val="0000FF"/>
                  <w:sz w:val="20"/>
                  <w:u w:val="single"/>
                </w:rPr>
                <w:t>127</w:t>
              </w:r>
            </w:hyperlink>
          </w:p>
        </w:tc>
      </w:tr>
      <w:tr>
        <w:trPr/>
        <w:tc>
          <w:tcPr>
            <w:tcW w:w="802"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1099511629917">
              <w:r>
                <w:rPr>
                  <w:rStyle w:val="InternetLink"/>
                </w:rPr>
                <w:t>Item 9</w:t>
              </w:r>
            </w:hyperlink>
            <w:hyperlink w:anchor="i95b69f4d4d284ad19c2d2487f9376198_1099511629917">
              <w:r>
                <w:rPr>
                  <w:rStyle w:val="InternetLink"/>
                </w:rPr>
                <w:t>C</w:t>
              </w:r>
            </w:hyperlink>
            <w:hyperlink w:anchor="i95b69f4d4d284ad19c2d2487f9376198_1099511629917">
              <w:r>
                <w:rPr>
                  <w:rStyle w:val="InternetLink"/>
                </w:rPr>
                <w:t>.</w:t>
              </w:r>
            </w:hyperlink>
          </w:p>
        </w:tc>
        <w:tc>
          <w:tcPr>
            <w:tcW w:w="893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099511629917">
              <w:r>
                <w:rPr>
                  <w:rStyle w:val="InternetLink"/>
                </w:rPr>
                <w:t>Disclosure Regarding Foreign Jurisdictions that Prevent Inspections</w:t>
              </w:r>
            </w:hyperlink>
            <w:hyperlink w:anchor="i95b69f4d4d284ad19c2d2487f9376198_226">
              <w:r>
                <w:rPr>
                  <w:rStyle w:val="InternetLink"/>
                </w:rPr>
                <w:t>.</w:t>
              </w:r>
            </w:hyperlink>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1099511629917">
              <w:r>
                <w:rPr>
                  <w:rStyle w:val="InternetLink"/>
                  <w:rFonts w:ascii="Times New Roman;sans-serif" w:hAnsi="Times New Roman;sans-serif"/>
                  <w:b w:val="false"/>
                  <w:color w:val="0000FF"/>
                  <w:sz w:val="20"/>
                  <w:u w:val="single"/>
                </w:rPr>
                <w:t>128</w:t>
              </w:r>
            </w:hyperlink>
          </w:p>
        </w:tc>
      </w:tr>
      <w:tr>
        <w:trPr/>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29">
              <w:r>
                <w:rPr>
                  <w:rStyle w:val="InternetLink"/>
                  <w:rFonts w:ascii="Times New Roman;sans-serif" w:hAnsi="Times New Roman;sans-serif"/>
                  <w:b w:val="false"/>
                  <w:color w:val="0000FF"/>
                  <w:sz w:val="20"/>
                  <w:u w:val="single"/>
                </w:rPr>
                <w:t>Part III</w:t>
              </w:r>
            </w:hyperlink>
          </w:p>
        </w:tc>
        <w:tc>
          <w:tcPr>
            <w:tcW w:w="8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29">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32">
              <w:r>
                <w:rPr>
                  <w:rStyle w:val="InternetLink"/>
                  <w:rFonts w:ascii="Times New Roman;sans-serif" w:hAnsi="Times New Roman;sans-serif"/>
                  <w:b w:val="false"/>
                  <w:strike w:val="false"/>
                  <w:dstrike w:val="false"/>
                  <w:color w:val="000000"/>
                  <w:sz w:val="20"/>
                  <w:u w:val="none"/>
                  <w:effect w:val="none"/>
                </w:rPr>
                <w:t>Item 10.</w:t>
              </w:r>
            </w:hyperlink>
          </w:p>
        </w:tc>
        <w:tc>
          <w:tcPr>
            <w:tcW w:w="89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32">
              <w:r>
                <w:rPr>
                  <w:rStyle w:val="InternetLink"/>
                  <w:rFonts w:ascii="Times New Roman;sans-serif" w:hAnsi="Times New Roman;sans-serif"/>
                  <w:b w:val="false"/>
                  <w:color w:val="0000FF"/>
                  <w:sz w:val="20"/>
                  <w:u w:val="single"/>
                </w:rPr>
                <w:t>Directors, Executive Officers and Corporate Governance.</w:t>
              </w:r>
            </w:hyperlink>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32">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35">
              <w:r>
                <w:rPr>
                  <w:rStyle w:val="InternetLink"/>
                  <w:rFonts w:ascii="Times New Roman;sans-serif" w:hAnsi="Times New Roman;sans-serif"/>
                  <w:b w:val="false"/>
                  <w:strike w:val="false"/>
                  <w:dstrike w:val="false"/>
                  <w:color w:val="000000"/>
                  <w:sz w:val="20"/>
                  <w:u w:val="none"/>
                  <w:effect w:val="none"/>
                </w:rPr>
                <w:t>Item 11.</w:t>
              </w:r>
            </w:hyperlink>
          </w:p>
        </w:tc>
        <w:tc>
          <w:tcPr>
            <w:tcW w:w="89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35">
              <w:r>
                <w:rPr>
                  <w:rStyle w:val="InternetLink"/>
                  <w:rFonts w:ascii="Times New Roman;sans-serif" w:hAnsi="Times New Roman;sans-serif"/>
                  <w:b w:val="false"/>
                  <w:color w:val="0000FF"/>
                  <w:sz w:val="20"/>
                  <w:u w:val="single"/>
                </w:rPr>
                <w:t>Executive Compensation.</w:t>
              </w:r>
            </w:hyperlink>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35">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38">
              <w:r>
                <w:rPr>
                  <w:rStyle w:val="InternetLink"/>
                  <w:rFonts w:ascii="Times New Roman;sans-serif" w:hAnsi="Times New Roman;sans-serif"/>
                  <w:b w:val="false"/>
                  <w:strike w:val="false"/>
                  <w:dstrike w:val="false"/>
                  <w:color w:val="000000"/>
                  <w:sz w:val="20"/>
                  <w:u w:val="none"/>
                  <w:effect w:val="none"/>
                </w:rPr>
                <w:t>Item 12.</w:t>
              </w:r>
            </w:hyperlink>
          </w:p>
        </w:tc>
        <w:tc>
          <w:tcPr>
            <w:tcW w:w="8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Security Ownership of Certain Beneficial Owners and Management and Related Stockholder Matters.</w:t>
            </w:r>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38">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41">
              <w:r>
                <w:rPr>
                  <w:rStyle w:val="InternetLink"/>
                  <w:rFonts w:ascii="Times New Roman;sans-serif" w:hAnsi="Times New Roman;sans-serif"/>
                  <w:b w:val="false"/>
                  <w:strike w:val="false"/>
                  <w:dstrike w:val="false"/>
                  <w:color w:val="000000"/>
                  <w:sz w:val="20"/>
                  <w:u w:val="none"/>
                  <w:effect w:val="none"/>
                </w:rPr>
                <w:t>Item 13.</w:t>
              </w:r>
            </w:hyperlink>
          </w:p>
        </w:tc>
        <w:tc>
          <w:tcPr>
            <w:tcW w:w="89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4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41">
              <w:r>
                <w:rPr>
                  <w:rStyle w:val="InternetLink"/>
                  <w:rFonts w:ascii="Times New Roman;sans-serif" w:hAnsi="Times New Roman;sans-serif"/>
                  <w:b w:val="false"/>
                  <w:color w:val="0000FF"/>
                  <w:sz w:val="20"/>
                  <w:u w:val="single"/>
                </w:rPr>
                <w:t>129</w:t>
              </w:r>
            </w:hyperlink>
          </w:p>
        </w:tc>
      </w:tr>
      <w:tr>
        <w:trPr/>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44">
              <w:r>
                <w:rPr>
                  <w:rStyle w:val="InternetLink"/>
                  <w:rFonts w:ascii="Times New Roman;sans-serif" w:hAnsi="Times New Roman;sans-serif"/>
                  <w:b w:val="false"/>
                  <w:strike w:val="false"/>
                  <w:dstrike w:val="false"/>
                  <w:color w:val="000000"/>
                  <w:sz w:val="20"/>
                  <w:u w:val="none"/>
                  <w:effect w:val="none"/>
                </w:rPr>
                <w:t>Item 14.</w:t>
              </w:r>
            </w:hyperlink>
          </w:p>
        </w:tc>
        <w:tc>
          <w:tcPr>
            <w:tcW w:w="89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44">
              <w:r>
                <w:rPr>
                  <w:rStyle w:val="InternetLink"/>
                  <w:rFonts w:ascii="Times New Roman;sans-serif" w:hAnsi="Times New Roman;sans-serif"/>
                  <w:b w:val="false"/>
                  <w:color w:val="0000FF"/>
                  <w:sz w:val="20"/>
                  <w:u w:val="single"/>
                </w:rPr>
                <w:t>Principal Accounting Fees and Services.</w:t>
              </w:r>
            </w:hyperlink>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44">
              <w:r>
                <w:rPr>
                  <w:rStyle w:val="InternetLink"/>
                  <w:rFonts w:ascii="Times New Roman;sans-serif" w:hAnsi="Times New Roman;sans-serif"/>
                  <w:b w:val="false"/>
                  <w:color w:val="0000FF"/>
                  <w:sz w:val="20"/>
                  <w:u w:val="single"/>
                </w:rPr>
                <w:t>129</w:t>
              </w:r>
            </w:hyperlink>
          </w:p>
        </w:tc>
      </w:tr>
      <w:tr>
        <w:trPr/>
        <w:tc>
          <w:tcPr>
            <w:tcW w:w="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47">
              <w:r>
                <w:rPr>
                  <w:rStyle w:val="InternetLink"/>
                  <w:rFonts w:ascii="Times New Roman;sans-serif" w:hAnsi="Times New Roman;sans-serif"/>
                  <w:b w:val="false"/>
                  <w:color w:val="0000FF"/>
                  <w:sz w:val="20"/>
                  <w:u w:val="single"/>
                </w:rPr>
                <w:t>Part IV</w:t>
              </w:r>
            </w:hyperlink>
          </w:p>
        </w:tc>
        <w:tc>
          <w:tcPr>
            <w:tcW w:w="8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47">
              <w:r>
                <w:rPr>
                  <w:rStyle w:val="InternetLink"/>
                  <w:rFonts w:ascii="Times New Roman;sans-serif" w:hAnsi="Times New Roman;sans-serif"/>
                  <w:b w:val="false"/>
                  <w:color w:val="0000FF"/>
                  <w:sz w:val="20"/>
                  <w:u w:val="single"/>
                </w:rPr>
                <w:t>130</w:t>
              </w:r>
            </w:hyperlink>
          </w:p>
        </w:tc>
      </w:tr>
      <w:tr>
        <w:trPr/>
        <w:tc>
          <w:tcPr>
            <w:tcW w:w="8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50">
              <w:r>
                <w:rPr>
                  <w:rStyle w:val="InternetLink"/>
                  <w:rFonts w:ascii="Times New Roman;sans-serif" w:hAnsi="Times New Roman;sans-serif"/>
                  <w:b w:val="false"/>
                  <w:strike w:val="false"/>
                  <w:dstrike w:val="false"/>
                  <w:color w:val="000000"/>
                  <w:sz w:val="20"/>
                  <w:u w:val="none"/>
                  <w:effect w:val="none"/>
                </w:rPr>
                <w:t>Item 15.</w:t>
              </w:r>
            </w:hyperlink>
          </w:p>
        </w:tc>
        <w:tc>
          <w:tcPr>
            <w:tcW w:w="89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50">
              <w:r>
                <w:rPr>
                  <w:rStyle w:val="InternetLink"/>
                  <w:rFonts w:ascii="Times New Roman;sans-serif" w:hAnsi="Times New Roman;sans-serif"/>
                  <w:b w:val="false"/>
                  <w:color w:val="0000FF"/>
                  <w:sz w:val="20"/>
                  <w:u w:val="single"/>
                </w:rPr>
                <w:t>Exhibits, Financial Statement Schedules.</w:t>
              </w:r>
            </w:hyperlink>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50">
              <w:r>
                <w:rPr>
                  <w:rStyle w:val="InternetLink"/>
                  <w:rFonts w:ascii="Times New Roman;sans-serif" w:hAnsi="Times New Roman;sans-serif"/>
                  <w:b w:val="false"/>
                  <w:color w:val="0000FF"/>
                  <w:sz w:val="20"/>
                  <w:u w:val="single"/>
                </w:rPr>
                <w:t>130</w:t>
              </w:r>
            </w:hyperlink>
          </w:p>
        </w:tc>
      </w:tr>
      <w:tr>
        <w:trPr/>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53">
              <w:r>
                <w:rPr>
                  <w:rStyle w:val="InternetLink"/>
                  <w:rFonts w:ascii="Times New Roman;sans-serif" w:hAnsi="Times New Roman;sans-serif"/>
                  <w:b w:val="false"/>
                  <w:strike w:val="false"/>
                  <w:dstrike w:val="false"/>
                  <w:color w:val="000000"/>
                  <w:sz w:val="20"/>
                  <w:u w:val="none"/>
                  <w:effect w:val="none"/>
                </w:rPr>
                <w:t>Item 16.</w:t>
              </w:r>
            </w:hyperlink>
          </w:p>
        </w:tc>
        <w:tc>
          <w:tcPr>
            <w:tcW w:w="89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253">
              <w:r>
                <w:rPr>
                  <w:rStyle w:val="InternetLink"/>
                  <w:rFonts w:ascii="Times New Roman;sans-serif" w:hAnsi="Times New Roman;sans-serif"/>
                  <w:b w:val="false"/>
                  <w:color w:val="0000FF"/>
                  <w:sz w:val="20"/>
                  <w:u w:val="single"/>
                </w:rPr>
                <w:t>Form 10-K Summary.</w:t>
              </w:r>
            </w:hyperlink>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53">
              <w:r>
                <w:rPr>
                  <w:rStyle w:val="InternetLink"/>
                  <w:rFonts w:ascii="Times New Roman;sans-serif" w:hAnsi="Times New Roman;sans-serif"/>
                  <w:b w:val="false"/>
                  <w:color w:val="0000FF"/>
                  <w:sz w:val="20"/>
                  <w:u w:val="single"/>
                </w:rPr>
                <w:t>135</w:t>
              </w:r>
            </w:hyperlink>
          </w:p>
        </w:tc>
      </w:tr>
      <w:tr>
        <w:trPr/>
        <w:tc>
          <w:tcPr>
            <w:tcW w:w="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6"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95b69f4d4d284ad19c2d2487f9376198_256">
              <w:r>
                <w:rPr>
                  <w:rStyle w:val="InternetLink"/>
                  <w:rFonts w:ascii="Times New Roman;sans-serif" w:hAnsi="Times New Roman;sans-serif"/>
                  <w:b w:val="false"/>
                  <w:color w:val="0000FF"/>
                  <w:sz w:val="20"/>
                  <w:u w:val="single"/>
                </w:rPr>
                <w:t>Signature Page</w:t>
              </w:r>
            </w:hyperlink>
          </w:p>
        </w:tc>
        <w:tc>
          <w:tcPr>
            <w:tcW w:w="46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95b69f4d4d284ad19c2d2487f9376198_256">
              <w:r>
                <w:rPr>
                  <w:rStyle w:val="InternetLink"/>
                  <w:rFonts w:ascii="Times New Roman;sans-serif" w:hAnsi="Times New Roman;sans-serif"/>
                  <w:b w:val="false"/>
                  <w:color w:val="0000FF"/>
                  <w:sz w:val="20"/>
                  <w:u w:val="single"/>
                </w:rPr>
                <w:t>136</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Annual Report on Form 10-K (this “Annual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decision whether to pay, or our ability to grow, our cash distributions;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and produced water volumes produced within proximity of our assets;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current and potential future impact of the COVID-19 pandemic on our business, results of operations, financial position or cash flows;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ability to attract and retain key management personnel;</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physical and financial risks associated with climate change;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and processing facilities;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tax status;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effects of litigation;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general economic conditions;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certain factors discussed elsewhere in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units, preferred units and senior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summary briefly lists the principal risks and uncertainties facing our business, which are only a select portion of those risks. A more complete discussion of those risks and uncertainties is set forth in Part I, Item 1A of this Annual Report. Additional risks not presently known to us or that we currently deem immaterial may also affect us. If any of these risks occur, our business, financial condition or results of operations could be materially and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the following principal risks and uncertainties: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COVID-19</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COVID-19 pandemic, coupled with other pressures on oil and gas prices has had, and is expected to continue to have, an adverse impact on our business, results of operations, financial position and cash flows.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Our Operations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may not have sufficient cash from operations following the establishment of cash reserves and payment of fees and expenses to enable us to pay distributions to holders of our preferred units and common units.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We depend on a relatively small number of customers for a significant portion of our revenues. </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Adverse developments in our areas of operation could materially adversely impact our financial condition, results of operations, cash flows and ability to make cash distributions to our unitholders.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Significant prolonged weakness in natural gas, NGL and crude oil prices could reduce throughput on our systems and materially adversely affect our revenues and ability to make cash distributions to our unitholders.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Because of the natural decline in production from our customers' existing wells, our success depends in part on our customers replacing declining production and also on our ability to maintain levels of throughput on our systems.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Customers may not drill and complete wells on the acreage behind our systems, which could adversely impact the levels of throughput on our systems.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Any significant decrease in the demand for natural gas and crude oil, including de-carbonization initiatives, could reduce the volumes of natural gas and crude oil that we gather and process, which could adversely affect our business and operating results.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may not be able to renew or replace expiring contracts at favorable rates or on a long term basis.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operate our business effectively could be impaired if we fail to attract and retain key personnel.</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Our Finances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Limited access to and/or availability of the commercial bank market, debt and equity capital markets could impair our ability to grow or cause us to be unable to meet future capital requirements.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leverage and debt service obligations may adversely affect our financial condition, results of operations and business prospects, and may limit our flexibility to obtain financing and to pursue other business opportunities.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may not be able to generate sufficient cash to service all of our indebtedness and may be forced to take other actions to satisfy our obligations under our indebtedness or to refinance, which may not be successful.</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Restrictions in our debt instruments could materially adversely affect our business, financial condition, results of operations, our ability to make cash distributions to unitholders and the value of our common units.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Inflation could have adverse effects on our results of operation.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An increase in interest rates will cause our debt service obligations to increase.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A downgrade of our credit rating could impact our liquidity, access to capital and our costs of doing business, and independent third parties determine our credit ratings outside of our control. </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have in the past and may in the future incur losses due to impairment in the carrying value of our long-lived assets or equity method investments.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Regulatory and Environmental Policy Risks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Increased regulation of hydraulic fracturing could result in reductions or delays in customer production, which could materially adversely impact our revenues.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are subject to stringent environmental laws and regulations that may expose us to significant costs and liabilities.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Climate change legislation, regulatory initiatives and litigation could result in increased operating costs and reduced demand for the services we provide.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may face opposition to the development, permitting, construction or operation of our pipelines and facilities from various groups.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business is subject to complex and evolving U.S. and international laws and regulations regarding privacy and data protection.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Inherent in an Investment in Us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Because our common units are yield-oriented securities, increases in interest rates could materially adversely impact our unit price, ability to issue equity or incur debt and ability to make cash distributions to unitholders.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Partnership Agreement replaces our General Partner’s fiduciary duties to unitholders and those of our officers and directors with contractual standards governing their duties.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may issue additional units without unitholder approval, which would dilute existing ownership interests.</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Tax Risks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If the IRS were to treat us as a corporation for federal income tax purposes, which would subject us to entity-level taxation, then our cash available for distribution to our unitholders would be substantially reduced.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If we were subjected to a material amount of additional entity-level taxation by individual states, it would reduce our cash available for distribution to our unitholders.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unitholders are required to pay income taxes on their share of our taxable income even if they do not receive any cash distributions from us.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 have engaged in recent transactions that generated substantial cancellation of debt (“COD”) income on a per unit basis relative to the trading price of our common units. We may engage in other transactions that result in substantial COD income or other gains in the future, and such events may cause a unitholder to be allocated income with respect to our units with no corresponding distribution of cash to fund the payment of the resulting tax liability to the unitholder.</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Risks Related to Terrorism and Cyberterrorism</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Terrorist attacks and threats, escalation of military activity in response to these attacks or acts of war could have a material adverse effect on our business, financial condition or results of operations.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operations depend on the use of information technology systems that could be the target of a cyberattack.</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ORGANIZATIONAL CHART</w:t>
      </w:r>
    </w:p>
    <w:p>
      <w:pPr>
        <w:pStyle w:val="TextBody"/>
        <w:spacing w:lineRule="auto" w:line="288" w:before="120" w:after="283"/>
        <w:rPr/>
      </w:pPr>
      <w:r>
        <w:rPr>
          <w:rFonts w:ascii="Times New Roman;sans-serif" w:hAnsi="Times New Roman;sans-serif"/>
          <w:b w:val="false"/>
          <w:color w:val="000000"/>
          <w:sz w:val="20"/>
        </w:rPr>
        <w:t>The following chart provides a summarized view of our legal entity structure at December 31, 2021:</w:t>
      </w:r>
      <w:r>
        <w:rPr/>
        <w:drawing>
          <wp:inline distT="0" distB="63500" distL="0" distR="0">
            <wp:extent cx="6515100" cy="3705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515100" cy="37052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rPr/>
      </w:pPr>
      <w:r>
        <w:rPr/>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CellMar>
          <w:top w:w="28" w:type="dxa"/>
          <w:left w:w="28" w:type="dxa"/>
          <w:bottom w:w="28" w:type="dxa"/>
          <w:right w:w="28" w:type="dxa"/>
        </w:tblCellMar>
      </w:tblPr>
      <w:tblGrid>
        <w:gridCol w:w="786"/>
        <w:gridCol w:w="387"/>
        <w:gridCol w:w="390"/>
        <w:gridCol w:w="2871"/>
        <w:gridCol w:w="2382"/>
        <w:gridCol w:w="3389"/>
      </w:tblGrid>
      <w:tr>
        <w:trPr/>
        <w:tc>
          <w:tcPr>
            <w:tcW w:w="78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3389" w:type="dxa"/>
            <w:tcBorders/>
            <w:shd w:fill="auto" w:val="clear"/>
            <w:vAlign w:val="center"/>
          </w:tcPr>
          <w:p>
            <w:pPr>
              <w:pStyle w:val="TableContents"/>
              <w:spacing w:before="0" w:after="283"/>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Senior Notes</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5.5% senior unsecured notes due August 2022</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2026</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Indenture</w:t>
            </w:r>
          </w:p>
        </w:tc>
        <w:tc>
          <w:tcPr>
            <w:tcW w:w="864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 2021, by and among Summit Holdings, Finance Corp., the guarantors party thereto and Regions Bank, as trustee</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6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64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AMI</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area of mutual interest; AMIs require that any production from wells drilled by our customers within the AMI be shipped on and/or processed by our gathering systems</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associated natural gas</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form of natural gas which is found with deposits of petroleum, either dissolved in the crude oil or as a free gas cap above the crude oil in the reservoir</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Bbl</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barrel; used for crude oil and produced water and equivalent to 42 U.S. gallons</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Bcfe/d</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 LLC</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our General Partner</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CAA</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Air Act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CEA</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Exchange Act</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CERCLA</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Environmental Response, Compensation and Liability Act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CFTC</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Futures Trading Commission</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debt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Agreement</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Agreement, dated as of November 2, 2021, by and among SMLP, as a pledgor, Summit Holdings and Finance Corp., as pledgors and grantors, the subsidiary guarantors party therein, and Regions Bank, as collateral agent</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 pentane and heavier hydrocarbon fractions</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Conflicts Committee</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conflicts committee of the Board of Directors</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CWA</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Water Act</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Tender Offers</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September 2020 cash tender offers by the Co-Issuers to purchase a portion of their 2022 Senior Notes and 2025 Senior Notes</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Dodd-Frank Act</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Dodd-Frank Wall Street Reform and Consumer Protection Act of 2010</w:t>
            </w:r>
          </w:p>
        </w:tc>
      </w:tr>
      <w:tr>
        <w:trPr/>
        <w:tc>
          <w:tcPr>
            <w:tcW w:w="156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DOT</w:t>
            </w:r>
          </w:p>
        </w:tc>
        <w:tc>
          <w:tcPr>
            <w:tcW w:w="8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Transportation</w:t>
            </w:r>
          </w:p>
        </w:tc>
      </w:tr>
      <w:tr>
        <w:trPr/>
        <w:tc>
          <w:tcPr>
            <w:tcW w:w="156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64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620"/>
        <w:gridCol w:w="455"/>
        <w:gridCol w:w="347"/>
        <w:gridCol w:w="2694"/>
        <w:gridCol w:w="2520"/>
        <w:gridCol w:w="3569"/>
      </w:tblGrid>
      <w:tr>
        <w:trPr/>
        <w:tc>
          <w:tcPr>
            <w:tcW w:w="62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520" w:type="dxa"/>
            <w:tcBorders/>
            <w:shd w:fill="auto" w:val="clear"/>
            <w:vAlign w:val="center"/>
          </w:tcPr>
          <w:p>
            <w:pPr>
              <w:pStyle w:val="TableContents"/>
              <w:spacing w:before="0" w:after="283"/>
              <w:rPr>
                <w:sz w:val="4"/>
                <w:szCs w:val="4"/>
              </w:rPr>
            </w:pPr>
            <w:r>
              <w:rPr>
                <w:sz w:val="4"/>
                <w:szCs w:val="4"/>
              </w:rPr>
            </w:r>
          </w:p>
        </w:tc>
        <w:tc>
          <w:tcPr>
            <w:tcW w:w="3569" w:type="dxa"/>
            <w:tcBorders/>
            <w:shd w:fill="auto" w:val="clear"/>
            <w:vAlign w:val="center"/>
          </w:tcPr>
          <w:p>
            <w:pPr>
              <w:pStyle w:val="TableContents"/>
              <w:spacing w:before="0" w:after="283"/>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1.35 Bcf per day, FERC-regulated interstate natural gas transmission pipeline that commenced operations in November 2021 and provides transportation service from multiple receipt points in the Delaware Basin to various delivery points in and around the Waha hub in Texas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dry gas</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primarily composed of methane where heavy hydrocarbons and water either do not exist or have been removed through processing or treating</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Dth/d</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British Thermal Units per day</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Capital Partners II, LLC and its parallel and co-investment funds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Epping</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Epping Transmission Company, LLC</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Epping Pipeline</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interstate crude oil pipeline in North Dakota, owned and operated by Epping</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Restructuring</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series of transactions consummated on March 22, 2019, pursuant to which the Partnership cancelled its IDRs and converted its 2% economic GP interest to a non-economic GP interest in exchange for 8,750,000 SMLP common units, which were issued to SMP Holdings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FTC</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Trade Commission</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GP</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GP Buy-In Transaction</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transactions contemplated by the Purchase Agreement dated May 3, 2020, between the Partnership and the affiliates of its then private equity sponsor, ECP, to acquire Summit Investments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GP interest</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2.0% general partner interest of GP in the Partnership prior to the Equity Restructuring and a non-economic general partner interest after the Equity Restructuring</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Guarantor Subsidiaries</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Bison Midstream and its subsidiaries, Grand River and its subsidiaries, DFW Midstream, Summit Marketing, Summit Permian, Permian Finance, OpCo, Summit Utica, Meadowlark Midstream, Summit Permian II, Mountaineer Midstream, Epping, Red Rock, Polar Midstream and Summit Niobrara</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ICA</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Interstate Commerce Act</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IDRs</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distribution rights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British Thermal Units</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MMcf</w:t>
            </w:r>
          </w:p>
        </w:tc>
        <w:tc>
          <w:tcPr>
            <w:tcW w:w="878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MMcfe/d</w:t>
            </w:r>
          </w:p>
        </w:tc>
        <w:tc>
          <w:tcPr>
            <w:tcW w:w="8783"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million cubic feet per day; determined using a ratio of six thousand cubic feet of natural gas to one barrel of liquids</w:t>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78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583"/>
        <w:gridCol w:w="509"/>
        <w:gridCol w:w="527"/>
        <w:gridCol w:w="2763"/>
        <w:gridCol w:w="2409"/>
        <w:gridCol w:w="3414"/>
      </w:tblGrid>
      <w:tr>
        <w:trPr/>
        <w:tc>
          <w:tcPr>
            <w:tcW w:w="58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63"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c>
          <w:tcPr>
            <w:tcW w:w="341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NEPA</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Environmental Policy Act</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NDIC</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Industrial Commission</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NGA</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Act</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NGPA</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Policy Act of 1978</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Niobrara G&amp;P</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Niobrara Gathering and Processing system</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Non-Guarantor Subsidiaries</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 and Summit Permian Transmission</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Obligor Group</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Co-Issuers and the Guarantor Subsidiaries</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OPA</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Pollution Control Act</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Repurchases</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open market repurchases of the 2022 Senior Notes and the 2025 Senior Notes</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PHMSA</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Hazardous Materials Safety Administration</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Finance</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Finance, LLC</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Facility</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time-to-time party thereto</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Polar and Divide</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Polar and Divide system; collectively Polar Midstream and Epping</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Polar Midstream</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Polar Midstream, LLC</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water from underground geologic formations that is a by-product of natural gas and crude oil production</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PSD</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Prevention of Significant Deterioration</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RCRA</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Conservation and Recovery Act</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revolving credit facility governed by the Fourth Amended and Restated Credit Agreement dated as of December 18,2020, as amended by the Third   Amended and Restated Credit Agreement dated as of May 26, 2017, as amended by the First Amendment to Third Amended and Restated Credit Agreement dated as of September 22, 2017, the Second Amendment to Third Amended and Restated Credit Agreement dated as of June 26, 2019 and the Third Amendment to Third Amended and Restated Credit Agreement dated as of December 24, 2019</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5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 based and noncash compensation, (vii) impairments and (viii) other noncash expenses or losses, less other noncash income or gains</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5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w:t>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899"/>
        <w:gridCol w:w="441"/>
        <w:gridCol w:w="445"/>
        <w:gridCol w:w="2682"/>
        <w:gridCol w:w="2368"/>
        <w:gridCol w:w="3370"/>
      </w:tblGrid>
      <w:tr>
        <w:trPr/>
        <w:tc>
          <w:tcPr>
            <w:tcW w:w="89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2682"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70"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received from a counterparty when its volume throughput does not meet its MVC for the applicable period</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Holdings</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Holdings, LLC</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Long-Term Incentive Plan</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SMP Holdings</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Holdings, LLC, also known as SMPH</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SMPH Term Loan</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SMPH Holdings’ term loan, governed by the Term Loan Agreement, dated as of March 21, 2017, among SMP Holdings, as borrower, the lenders party thereto and Credit Suisse AG, Cayman Islands Branch, as Administrative Agent and Collateral Agent</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SPCC</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Spill Prevention Control and Countermeasure</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Niobrara</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Marketing</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LLC</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II</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Reform Legislation</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of 2017</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Tcfe</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equivalent of one trillion cubic feet</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and its subsidiaries</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br/>
              <w:t>Agreement</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Fourth Amended and Restated Agreement of Limited Partnership of the</w:t>
              <w:br/>
              <w:t>Partnership dated May 28, 2020</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Tioga Midstream</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Midstream, LLC</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TL Restructuring</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November 2020 consensual debt discharge and restructuring of the SMPH Term Loan</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VOC</w:t>
            </w:r>
          </w:p>
        </w:tc>
        <w:tc>
          <w:tcPr>
            <w:tcW w:w="8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volatile organic compound(s)</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42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equipment at the surface of a well, used to control the well's pressure; also, the point at which the hydrocarbons and water exit the ground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GP Buy-In Transaction (as defined below) occurred in May 2020, whereby the Partnership acquired Summit Investments, the privately-held parent company of the General Partner, and the General Partner became a wholly-owned subsidiary of the Partnership. Under GAAP, the GP Buy-In Transaction was deemed a transaction between entities under common control with a change in reporting entity. As a result of the GP Buy-In Transaction, the Partnership recast its historical financial statements for the periods preceding the GP Buy-In Transaction, during which the entities were under the common control of Summit Investments, to retrospectively reflect the GP Buy-In Transaction. Although the Partnership was the surviving entity for legal purposes, Summit Investments was the surviving entity for accounting purposes; therefore, the historical financial results of the Partnership prior to the GP Buy-In Transaction are those of Summit Investments. Prior to the GP Buy-In Transaction, Summit Investments controlled the Partnership and, as such, the Partnership’s financial statements were consolidated into Summit Investments.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financial data included in this Annual Report includes periods prior to the GP Buy-In Transaction. Consequently, the Partnership’s consolidated financial statements have been retrospectively recast for all periods presented in order to present the financial results of the surviving entity, Summit Investments, for accounting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 Delaware limited partnership (including its subsidiaries, collectively, “we”, “our”, “us”, “SMLP”, or “the Partnership”), is a value-driven limited partnership focused on developing, owning and operating midstream energy infrastructure assets that are strategically located in unconventional resource basins, primarily shale formations, in the continental United States. Our common units are listed and traded on the NYSE under the ticker symbol “SMLP.”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was formed in May 2012. The Partnership’s executive offices are located at 910 Louisiana Street, Suite 4200, Houston, Texas 77002, and can be reached by phone at 832-413-4770. The Partnership also maintains regional field offices in close proximity to our areas of operation to support the operation and development of our midstream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the GP Buy-In Transaction, the Partnership indirectly owns its General Partner, and the General Partner’s Board of Directors is comprised of a majority of independent directors. The Partnership’s Fourth Amended and Restated Agreement of Limited Partnership (the “Partnership Agreement”) provides the Partnership’s common unitholders with voting rights in the election of the members of the General Partner's Board of Directors on a staggered basis beginning in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Business Strategies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operate a differentiated midstream platform that is built for long-term, sustainable value creation. Our integrated assets are strategically located in production basins including the Williston Basin, DJ Basin, Utica Shale, Marcellus Shale, Barnett Shale, Piceance Basin and Permian Basin. Our primary business objective is to maximize cash flow and provide cash flow stability for our stakeholders while growing prudently and profitably. We intend to accomplish this objective by executing the following strategies: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Capital structure optimization</w:t>
      </w:r>
      <w:r>
        <w:rPr>
          <w:rFonts w:ascii="Times New Roman;sans-serif" w:hAnsi="Times New Roman;sans-serif"/>
          <w:b w:val="false"/>
          <w:color w:val="000000"/>
          <w:sz w:val="20"/>
        </w:rPr>
        <w:t>. We seek to maximize unitholder value. Our capital structure currently consists of common equity, preferred equity, and indebtedness that is comprised of borrowings, a portion of which is secured by substantially all of the Partnership's assets. The Partnership intends to optimize its capital structure in the future by reducing its indebtedness with free cash flow and when appropriate, it may pursue opportunistic capital markets transactions with the objective of increasing long term unitholder value.</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Portfolio management</w:t>
      </w:r>
      <w:r>
        <w:rPr>
          <w:rFonts w:ascii="Times New Roman;sans-serif" w:hAnsi="Times New Roman;sans-serif"/>
          <w:b w:val="false"/>
          <w:color w:val="000000"/>
          <w:sz w:val="20"/>
        </w:rPr>
        <w:t>. We seek to maximize unitholder value by strategically managing our portfolio of midstream assets and allocating capital based on appropriate risk-informed cash flow assumptions. This may include opportunistic divestitures, re-allocation of capital to new or existing areas, and development of joint ventures involving our existing midstream assets or new investment opportunities.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Maintaining our focus on fee-based revenue with minimal direct commodity price exposure</w:t>
      </w:r>
      <w:r>
        <w:rPr>
          <w:rFonts w:ascii="Times New Roman;sans-serif" w:hAnsi="Times New Roman;sans-serif"/>
          <w:b w:val="false"/>
          <w:color w:val="000000"/>
          <w:sz w:val="20"/>
        </w:rPr>
        <w:t>. We intend to maintain our focus on providing midstream services under primarily long-term and fee-based contracts. We believe that our focus on fee-based revenues with minimal direct commodity price exposure is essential to maintaining stable cash flows.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Maintaining strong producer relationships to maximize utilization of all of our midstream assets</w:t>
      </w:r>
      <w:r>
        <w:rPr>
          <w:rFonts w:ascii="Times New Roman;sans-serif" w:hAnsi="Times New Roman;sans-serif"/>
          <w:b w:val="false"/>
          <w:color w:val="000000"/>
          <w:sz w:val="20"/>
        </w:rPr>
        <w:t>. We have cultivated strong producer relationships by focusing on customer service and reliable project execution and by operating our assets safely and reliably over time. We believe that our strong producer relationships will create future opportunities to expand our gathering reach and optimize the utilization of our gathering systems for our customers.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Continuing to prioritize safe and reliable operations</w:t>
      </w:r>
      <w:r>
        <w:rPr>
          <w:rFonts w:ascii="Times New Roman;sans-serif" w:hAnsi="Times New Roman;sans-serif"/>
          <w:b w:val="false"/>
          <w:color w:val="000000"/>
          <w:sz w:val="20"/>
        </w:rPr>
        <w:t xml:space="preserve">. We believe that providing safe, reliable and efficient operations is a key component of our business strategy. We place a strong emphasis on employee training,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operational procedures and enterprise technology, and we intend to continue promoting a high standard with respect to the efficiency of our operations and the safety of all of our constituents.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Recent Developments and Highlights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listing of significant developments and highlights since December 31, 2020. Additional information regarding these items may be found elsewhere in this Annual Report.</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Refinanced $959.0 million of debt maturing in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In November 2021, we refinanced $959.0 million of indebtedness that was scheduled to mature in 2022 through a series of transactions that involved issuing $700.0 million of our 8.500% Senior Secured Second Lien Notes due 2026 (the “2026 Secured Notes”) and entering into a new $400.0 million first-lien, asset-based revolving credit facility that matures on May 1, 2026. The extension of our debt maturities provides us with additional financial flexibility to further reduce indebtedness and execute on our corporate objectives. See Note 8 – Debt for further details. </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 xml:space="preserve">Reduced net indebtedness by $124.0 million in 2021 and $432.3 million since the GP Buy-In Transaction. </w:t>
      </w:r>
      <w:r>
        <w:rPr>
          <w:rFonts w:ascii="Times New Roman;sans-serif" w:hAnsi="Times New Roman;sans-serif"/>
          <w:b w:val="false"/>
          <w:color w:val="000000"/>
          <w:sz w:val="20"/>
        </w:rPr>
        <w:t>Using cash flow from operations and other corporate initiatives, we reduced our net indebtedness by $124.0 million during 2021 (which excludes borrowings under our non-recourse Permian Transmission Credit Facilities) and since the GP Buy-In Transaction in 2020, we have reduced our net indebtedness by $432.3 million (excludes borrowings under our non-recourse Permian Transmission Credit Facilities). See Note 8 – Debt for further details.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Placed Double E Pipeline in service at an estimated $70 million below our cost estimate, net to Summit.</w:t>
      </w:r>
      <w:r>
        <w:rPr>
          <w:color w:val="000000"/>
        </w:rPr>
        <w:t xml:space="preserve"> </w:t>
      </w:r>
      <w:r>
        <w:rPr>
          <w:rFonts w:ascii="Times New Roman;sans-serif" w:hAnsi="Times New Roman;sans-serif"/>
          <w:b w:val="false"/>
          <w:color w:val="000000"/>
          <w:sz w:val="20"/>
        </w:rPr>
        <w:t xml:space="preserve">In November 2021, we placed the Double E Pipeline in service at a total estimated cost to us of approximately $280.0 million for our 70% interest in Double E (including $11.0 million of carryover capital contributions to be made to Double E during each of the quarterly periods ending March 31 and June 30, 2022). The final cost to complete Double E was approximately $70.0 million below our final investment decision cost estimate of approximately $350.0 million, in each case net to Summit, and these cost savings significantly enhance our Double E investment returns. </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Reduced Series A Preferred Unit securities below $100.0 million parity threshold.</w:t>
      </w:r>
      <w:r>
        <w:rPr>
          <w:color w:val="000000"/>
        </w:rPr>
        <w:t xml:space="preserve"> </w:t>
      </w:r>
      <w:r>
        <w:rPr>
          <w:rFonts w:ascii="Times New Roman;sans-serif" w:hAnsi="Times New Roman;sans-serif"/>
          <w:b w:val="false"/>
          <w:color w:val="000000"/>
          <w:sz w:val="20"/>
        </w:rPr>
        <w:t>In March 2021 and December 2021, the Partnership launched a series of transactions to exchange its Series A Preferred Units for newly issued SMLP common units, whereby we exchanged an aggregate of 96,061 Series A Preferred Units for 3,392,590 SMLP common units, net of units withheld for withholding taxes. We now have Series A Preferred Units outstanding with less than $100.0 million liquidation preference, in the aggregate, and as a result we may issue unlimited additional parity preferred equity securities in our capital structure without a vote of the holders of the Series A Preferred Units. We believe the ability to issue or assume additional parity preferred equity securities enhances our financial flexibility to execute our business objectives and pursue value-enhancing growth opportunities. See Note 12 - Partners' Capital and Mezzanine Capital and Note 19 – Subsequent Events for additional information.</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Resolved longstanding environmental matter.</w:t>
      </w:r>
      <w:r>
        <w:rPr>
          <w:color w:val="000000"/>
        </w:rPr>
        <w:t xml:space="preserve"> </w:t>
      </w:r>
      <w:r>
        <w:rPr>
          <w:rFonts w:ascii="Times New Roman;sans-serif" w:hAnsi="Times New Roman;sans-serif"/>
          <w:b w:val="false"/>
          <w:color w:val="000000"/>
          <w:sz w:val="20"/>
        </w:rPr>
        <w:t>As previously disclosed, we were the subject of multiple government investigations stemming from a 2015 rupture of our four-inch produced water gathering pipeline near Williston, North Dakota (“2015 Blacktail Release”). On August 4, 2021, we entered into a Global Settlement to resolve these matters that includes the payment of penalties and fines of $36.3 million over a period of six years. We believe that entering into a Global Settlement was in the best interest of all stakeholders, including our unitholders. See Note 10 – Commitments and Contingencies for additional information.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Midstream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midstream assets primarily gather natural gas produced from pad sites, wells and central receipt points connected to our systems. Gathered natural gas volumes are then compressed, dehydrated, treated and/or processed for delivery to downstream pipelines serving processing plants or end users. We also contract with producers to gather crude oil and produced water from wells connected to our systems for delivery to downstream pipelines and to third-party rail terminals in the case of crude oil and to third-party disposal wells in the case of produced water. We generally refer to most of the services our systems provide as gathering services. We also provide natural gas transmission services via Double E, a long-haul natural gas pipeline in which Summit indirectly owns a 70% equity interest and serves as the pipeline’s operator. Double E provides natural gas transportation services from multiple receipt points in the Permian Basin to various delivery points in and around the Waha hub in Texas.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color w:val="000000"/>
          <w:sz w:val="20"/>
        </w:rPr>
        <w:t>Reportable Segments.</w:t>
      </w:r>
      <w:r>
        <w:rPr>
          <w:color w:val="000000"/>
        </w:rPr>
        <w:t xml:space="preserve"> </w:t>
      </w:r>
      <w:r>
        <w:rPr>
          <w:rFonts w:ascii="Times New Roman;sans-serif" w:hAnsi="Times New Roman;sans-serif"/>
          <w:b w:val="false"/>
          <w:color w:val="000000"/>
          <w:sz w:val="20"/>
        </w:rPr>
        <w:t xml:space="preserve">In 2021, we changed our segment reporting to align with how the General Partner’s Chief Executive Officer, its chief operating decision maker, reviews financial information in order to allocate resources and assess performance. The new segment reporting resulted from changes enacted to optimize commercial efforts and our geographic workforce to better align our commercial, engineering, and operational capabilities.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five reportable segments are below along with a management categorization of the primary commodity driving customer drilling and completion decisions for each segment:</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Oil price driven.</w:t>
      </w:r>
      <w:r>
        <w:rPr>
          <w:color w:val="000000"/>
        </w:rPr>
        <w:t xml:space="preserve"> </w:t>
      </w:r>
      <w:r>
        <w:rPr>
          <w:rFonts w:ascii="Times New Roman;sans-serif" w:hAnsi="Times New Roman;sans-serif"/>
          <w:b w:val="false"/>
          <w:color w:val="000000"/>
          <w:sz w:val="20"/>
        </w:rPr>
        <w:t xml:space="preserve">Our cash flows in the Rockies and Permian segments are primarily influenced by the prevailing price of crude oil because the drilling and completion decisions by our customers in these segments are based on well economics most heavily tied to crude oil prices. Our customers’ decisions to drill and complete wells in these segments therefore result in higher volume throughput and cash flows for our midstream assets in which we collect fixed fees for gathering or processing hydrocarbons, gathering produced water, or transporting residue natural gas. </w:t>
      </w:r>
    </w:p>
    <w:p>
      <w:pPr>
        <w:pStyle w:val="TextBody"/>
        <w:spacing w:lineRule="auto" w:line="288" w:before="120" w:after="283"/>
        <w:ind w:left="0" w:right="0" w:hanging="720"/>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our wholly owned midstream assets located in the Williston Basin and the DJ Basin. </w:t>
      </w:r>
    </w:p>
    <w:p>
      <w:pPr>
        <w:pStyle w:val="TextBody"/>
        <w:spacing w:lineRule="auto" w:line="288" w:before="120" w:after="283"/>
        <w:ind w:left="0" w:right="0" w:hanging="720"/>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 xml:space="preserve">Includes our wholly owned midstream assets located in the Permian Basin and our equity method investment in Double E. </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Natural gas price driven.</w:t>
      </w:r>
      <w:r>
        <w:rPr>
          <w:color w:val="000000"/>
        </w:rPr>
        <w:t xml:space="preserve"> </w:t>
      </w:r>
      <w:r>
        <w:rPr>
          <w:rFonts w:ascii="Times New Roman;sans-serif" w:hAnsi="Times New Roman;sans-serif"/>
          <w:b w:val="false"/>
          <w:color w:val="000000"/>
          <w:sz w:val="20"/>
        </w:rPr>
        <w:t xml:space="preserve">Our cash flows in the Northeast, Piceance and Barnett segments are primarily influenced by the prevailing price of natural gas because the drilling, completion and recompletion decisions by our customers in these segments are based on well economics most heavily tied to natural gas and NGL prices. Our customers’ decisions to drill, complete or recomplete wells in these segments therefore result in higher throughput and cash flows for those segments in which we collect fixed fees for gathering natural gas. </w:t>
      </w:r>
    </w:p>
    <w:p>
      <w:pPr>
        <w:pStyle w:val="TextBody"/>
        <w:spacing w:lineRule="auto" w:line="288" w:before="120" w:after="283"/>
        <w:ind w:left="0" w:right="0" w:hanging="720"/>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Includes our wholly owned midstream assets located in the Utica and Marcellus shale plays and our equity method investment in Ohio Gathering that is focused on the Utica Shale.</w:t>
      </w:r>
    </w:p>
    <w:p>
      <w:pPr>
        <w:pStyle w:val="TextBody"/>
        <w:spacing w:lineRule="auto" w:line="288" w:before="120" w:after="283"/>
        <w:ind w:left="0" w:right="0" w:hanging="720"/>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our wholly owned midstream assets located in the Piceance Basin.</w:t>
      </w:r>
    </w:p>
    <w:p>
      <w:pPr>
        <w:pStyle w:val="TextBody"/>
        <w:spacing w:lineRule="auto" w:line="288" w:before="120" w:after="283"/>
        <w:ind w:left="0" w:right="0" w:hanging="720"/>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Includes our wholly owned midstream assets located in the Barnett Shale.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Industry Overview and Commercial Arrangements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compete with other midstream companies, producers and intrastate and interstate pipelines. Competition for volumes is primarily based on reputation, commercial terms, acreage dedications, service levels, access to end-use markets, geographic proximity of existing assets to a producer's acreage and available gathering and processing capacity. We may also face competition to gather production outside of our AMIs and attract producer volumes to our gathering systems.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earn revenue by providing gathering, compression, treating and/or processing services pursuant to primarily long-term and fee-based gathering and processing agreements with some of the largest and most active producers in North America. Through our equity method investment in the Double E Pipeline, we earn revenue by providing high pressure transportation services, as both firm and interruptible service, for residue natural gas in the Permian Basin. The fee-based nature of these agreements enhances the stability of our cash flows by limiting our direct commodity price exposure.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significant features of our transportation and gathering and processing agreements, and the gathering and transportation systems to which they relate, are discussed in more detail below. For additional operating and financial performance information, on a consolidated basis and by reportable segment, see the "Results of Operations" section in Item 7. Management's Discussion and Analysis of Financial Condition and Results of Operations.</w:t>
      </w:r>
    </w:p>
    <w:p>
      <w:pPr>
        <w:pStyle w:val="TextBody"/>
        <w:spacing w:lineRule="auto" w:line="288" w:before="120" w:after="283"/>
        <w:rPr/>
      </w:pPr>
      <w:r>
        <w:rPr>
          <w:rFonts w:ascii="Times New Roman;sans-serif" w:hAnsi="Times New Roman;sans-serif"/>
          <w:b/>
          <w:i/>
          <w:color w:val="000000"/>
          <w:sz w:val="20"/>
        </w:rPr>
        <w:t>Areas of Mutual Interest.</w:t>
      </w:r>
      <w:r>
        <w:rPr>
          <w:color w:val="000000"/>
        </w:rPr>
        <w:t> </w:t>
      </w:r>
      <w:r>
        <w:rPr>
          <w:rFonts w:ascii="Times New Roman;sans-serif" w:hAnsi="Times New Roman;sans-serif"/>
          <w:b w:val="false"/>
          <w:color w:val="000000"/>
          <w:sz w:val="20"/>
        </w:rPr>
        <w:t>The vast majority of our gathering and processing agreements contain AMIs, some of which extend through 2036. The AMIs generally require that any production by our customers within the AMIs will be gathered and/or processed by our assets. In general, our customers have not leased acreage that cover our entire AMIs but, to the extent that they have leased acreage within our AMI, or lease additional acreage within our AMIs, any production from wells within that AMI will be dedicated to our systems.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of our gathering agreements, we have agreed to construct pipeline laterals to connect our gathering systems to producer pad sites located within the AMI. However, in certain circumstances we may choose not to pursue a pad connection opportunity presented by a customer if we believe that the investment would not meet our internal return expectations. Under this scenario, the customer may, in certain circumstances, construct the gathering infrastructure itself and sell it to us at a price equal to their cost plus an applicable profit margin, or, in some cases, we may release the relevant acreage dedication from the AMI.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AMIs cover approximately 3.0 million surface acres in the aggregate, which includes more than 0.8 million surface acres associated with Ohio Gathering.</w:t>
      </w:r>
    </w:p>
    <w:p>
      <w:pPr>
        <w:pStyle w:val="TextBody"/>
        <w:spacing w:lineRule="auto" w:line="288" w:before="120" w:after="283"/>
        <w:rPr/>
      </w:pPr>
      <w:r>
        <w:rPr>
          <w:rFonts w:ascii="Times New Roman;sans-serif" w:hAnsi="Times New Roman;sans-serif"/>
          <w:b/>
          <w:i/>
          <w:color w:val="000000"/>
          <w:sz w:val="20"/>
        </w:rPr>
        <w:t>Minimum Volume Commitments.</w:t>
      </w:r>
      <w:r>
        <w:rPr>
          <w:color w:val="000000"/>
        </w:rPr>
        <w:t> </w:t>
      </w:r>
      <w:r>
        <w:rPr>
          <w:rFonts w:ascii="Times New Roman;sans-serif" w:hAnsi="Times New Roman;sans-serif"/>
          <w:b w:val="false"/>
          <w:color w:val="000000"/>
          <w:sz w:val="20"/>
        </w:rPr>
        <w:t xml:space="preserve">Certain of our gathering and/or processing agreements contain MVCs which, like AMIs, benefit from the development and ongoing operation of a gathering system because they provide a minimum contracted monthly or annual revenue stream. Some of our MVCs extend through 2026. To the extent a customer does not meet its contractual MVC, it is obligated to make an MVC shortfall payment to us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by either collecting gathering or processing fees on actual throughput or from cash payments to cover any MVC shortfall.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remaining MVCs totaling 1.0 Tcfe, our MVCs had a weighted-average remaining life of 4.3 years, and these MVC's average approximately 562 MMcfe/d through 2026. </w:t>
      </w:r>
    </w:p>
    <w:p>
      <w:pPr>
        <w:pStyle w:val="TextBody"/>
        <w:spacing w:lineRule="auto" w:line="288" w:before="120" w:after="283"/>
        <w:rPr/>
      </w:pPr>
      <w:r>
        <w:rPr>
          <w:rFonts w:ascii="Times New Roman;sans-serif" w:hAnsi="Times New Roman;sans-serif"/>
          <w:b w:val="false"/>
          <w:color w:val="000000"/>
          <w:sz w:val="20"/>
        </w:rPr>
        <w:t xml:space="preserve">For additional information on our MVCs, see Note 3 </w:t>
      </w:r>
      <w:r>
        <w:rPr>
          <w:color w:val="000000"/>
        </w:rPr>
        <w:t xml:space="preserve">– </w:t>
      </w:r>
      <w:r>
        <w:rPr>
          <w:rFonts w:ascii="Times New Roman;sans-serif" w:hAnsi="Times New Roman;sans-serif"/>
          <w:b w:val="false"/>
          <w:color w:val="000000"/>
          <w:sz w:val="20"/>
        </w:rPr>
        <w:t xml:space="preserve">Revenue and Note 7 </w:t>
      </w:r>
      <w:r>
        <w:rPr>
          <w:color w:val="000000"/>
        </w:rPr>
        <w:t xml:space="preserve">– </w:t>
      </w:r>
      <w:r>
        <w:rPr>
          <w:rFonts w:ascii="Times New Roman;sans-serif" w:hAnsi="Times New Roman;sans-serif"/>
          <w:b w:val="false"/>
          <w:color w:val="000000"/>
          <w:sz w:val="20"/>
        </w:rPr>
        <w:t>Deferred Revenue to the consolidated financial statements.</w:t>
      </w:r>
    </w:p>
    <w:p>
      <w:pPr>
        <w:pStyle w:val="TextBody"/>
        <w:spacing w:lineRule="auto" w:line="288" w:before="120" w:after="283"/>
        <w:rPr/>
      </w:pPr>
      <w:r>
        <w:rPr>
          <w:rFonts w:ascii="Times New Roman;sans-serif" w:hAnsi="Times New Roman;sans-serif"/>
          <w:b/>
          <w:i/>
          <w:color w:val="000000"/>
          <w:sz w:val="20"/>
        </w:rPr>
        <w:t xml:space="preserve">Throughput and Commodity Price Exposure. </w:t>
      </w:r>
      <w:r>
        <w:rPr>
          <w:rFonts w:ascii="Times New Roman;sans-serif" w:hAnsi="Times New Roman;sans-serif"/>
          <w:b w:val="false"/>
          <w:color w:val="000000"/>
          <w:sz w:val="20"/>
        </w:rPr>
        <w:t>Our financial results are primarily driven by volume throughput across our gathering systems and by expense management. During 2021, aggregate natural gas volume throughput averaged 1,356 MMcf/d and crude oil and produced water volume throughput averaged 63 Mbbl/d. A majority of the volumes that we gather, compress, treat and/or process have a fixed-fee rate structure, which enhances the stability of our cash flows by providing a revenue stream that is not subject to direct commodity price risk or volatility.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Permian, and Piceance segments, (ii) the sale of natural gas we retain from certain Barnett customers, (iii) the sale of condensate we retain from our gathering services in the Piceance segment and (iv) additional gathering fees that are tied to performance of certain commodity price indexes, which are then added to the fixed gathering rates. During the year ended December 31, 2021, these additional activities accounted for approximately 22% of total revenues.</w:t>
      </w:r>
    </w:p>
    <w:p>
      <w:pPr>
        <w:pStyle w:val="TextBody"/>
        <w:spacing w:lineRule="auto" w:line="288" w:before="120" w:after="283"/>
        <w:rPr/>
      </w:pPr>
      <w:r>
        <w:rPr>
          <w:rFonts w:ascii="Times New Roman;sans-serif" w:hAnsi="Times New Roman;sans-serif"/>
          <w:b/>
          <w:i/>
          <w:color w:val="000000"/>
          <w:sz w:val="20"/>
        </w:rPr>
        <w:t>Equity Method Investment – Ohio Gathering.</w:t>
      </w:r>
      <w:r>
        <w:rPr>
          <w:color w:val="000000"/>
        </w:rPr>
        <w:t xml:space="preserve"> </w:t>
      </w:r>
      <w:r>
        <w:rPr>
          <w:rFonts w:ascii="Times New Roman;sans-serif" w:hAnsi="Times New Roman;sans-serif"/>
          <w:b w:val="false"/>
          <w:color w:val="000000"/>
          <w:sz w:val="20"/>
        </w:rPr>
        <w:t>We have an equity method investment in Ohio Gathering, which comprises a natural gas gathering system and condensate stabilization facility located in the core of the Utica Shale in southeastern Ohio. Our joint venture partner in Ohio Gathering may elect to fund 100% of the capital calls if we choose not to fund our proportionate share of a given capital call. In 2021, we chose to not fund capital calls in Ohio Gathering because the investment did not meet our corporate objectives and as a result, our ownership interest in that venture was reduced from 38.2% as of December 31, 2020 to 37.8% as of December 31, 2021. MPLX LP (“MPLX”) is the operator of the Ohio Gathering joint venture and our joint venture partner.</w:t>
      </w:r>
    </w:p>
    <w:p>
      <w:pPr>
        <w:pStyle w:val="TextBody"/>
        <w:spacing w:lineRule="auto" w:line="288" w:before="120" w:after="283"/>
        <w:rPr/>
      </w:pPr>
      <w:r>
        <w:rPr>
          <w:rFonts w:ascii="Times New Roman;sans-serif" w:hAnsi="Times New Roman;sans-serif"/>
          <w:b/>
          <w:i/>
          <w:color w:val="000000"/>
          <w:sz w:val="20"/>
        </w:rPr>
        <w:t>Equity Method Investment – Double E.</w:t>
      </w:r>
      <w:r>
        <w:rPr>
          <w:color w:val="000000"/>
        </w:rPr>
        <w:t xml:space="preserve"> </w:t>
      </w:r>
      <w:r>
        <w:rPr>
          <w:rFonts w:ascii="Times New Roman;sans-serif" w:hAnsi="Times New Roman;sans-serif"/>
          <w:b w:val="false"/>
          <w:color w:val="000000"/>
          <w:sz w:val="20"/>
        </w:rPr>
        <w:t xml:space="preserve">We have an equity method investment in Double E, a 1.35 Bcf/d FERC-regulated interstate natural gas transmission pipeline that commenced operations in November 2021and provides transportation service from multiple receipt points in the Delaware Basin to various delivery points in and around the Waha hub in Texas. We are the operator of the joint venture and have made all required capital contributions to Double E. As of December 31, 2021, the Partnership owns a 70% interest in Double 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 of our Segments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Northeast.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Northeast reportable segment as of December 31, 2021.</w:t>
      </w:r>
    </w:p>
    <w:tbl>
      <w:tblPr>
        <w:tblW w:w="10205" w:type="dxa"/>
        <w:jc w:val="left"/>
        <w:tblInd w:w="0" w:type="dxa"/>
        <w:tblCellMar>
          <w:top w:w="28" w:type="dxa"/>
          <w:left w:w="28" w:type="dxa"/>
          <w:bottom w:w="28" w:type="dxa"/>
          <w:right w:w="28" w:type="dxa"/>
        </w:tblCellMar>
      </w:tblPr>
      <w:tblGrid>
        <w:gridCol w:w="326"/>
        <w:gridCol w:w="287"/>
        <w:gridCol w:w="288"/>
        <w:gridCol w:w="109"/>
        <w:gridCol w:w="109"/>
        <w:gridCol w:w="109"/>
        <w:gridCol w:w="469"/>
        <w:gridCol w:w="469"/>
        <w:gridCol w:w="471"/>
        <w:gridCol w:w="109"/>
        <w:gridCol w:w="109"/>
        <w:gridCol w:w="109"/>
        <w:gridCol w:w="433"/>
        <w:gridCol w:w="433"/>
        <w:gridCol w:w="435"/>
        <w:gridCol w:w="109"/>
        <w:gridCol w:w="109"/>
        <w:gridCol w:w="109"/>
        <w:gridCol w:w="360"/>
        <w:gridCol w:w="360"/>
        <w:gridCol w:w="361"/>
        <w:gridCol w:w="109"/>
        <w:gridCol w:w="109"/>
        <w:gridCol w:w="109"/>
        <w:gridCol w:w="646"/>
        <w:gridCol w:w="646"/>
        <w:gridCol w:w="647"/>
        <w:gridCol w:w="109"/>
        <w:gridCol w:w="109"/>
        <w:gridCol w:w="109"/>
        <w:gridCol w:w="566"/>
        <w:gridCol w:w="566"/>
        <w:gridCol w:w="807"/>
      </w:tblGrid>
      <w:tr>
        <w:trPr/>
        <w:tc>
          <w:tcPr>
            <w:tcW w:w="3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r>
      <w:tr>
        <w:trPr/>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throughput capacity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 MVCs through 2026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MVCs (Bcf)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MVC life (Years)</w:t>
            </w:r>
          </w:p>
        </w:tc>
      </w:tr>
      <w:tr>
        <w:trPr/>
        <w:tc>
          <w:tcPr>
            <w:tcW w:w="90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Northeast segment is comprised of our Summit Utica system, our Mountaineer Midstream system, and our equity method investments in Ohio Gathering.</w:t>
      </w:r>
    </w:p>
    <w:p>
      <w:pPr>
        <w:pStyle w:val="TextBody"/>
        <w:spacing w:lineRule="auto" w:line="288" w:before="120" w:after="283"/>
        <w:rPr/>
      </w:pPr>
      <w:r>
        <w:rPr>
          <w:rFonts w:ascii="Times New Roman;sans-serif" w:hAnsi="Times New Roman;sans-serif"/>
          <w:b w:val="false"/>
          <w:i/>
          <w:color w:val="000000"/>
          <w:sz w:val="20"/>
          <w:u w:val="single"/>
        </w:rPr>
        <w:t>Summit Utica system</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Summit Utica system is a natural gas gathering system located in Belmont and Monroe counties in southeastern Ohio and serves producers targeting the dry gas reserves of the Utica and Point Pleasant shale formations. The Summit Utica system gathers and delivers natural gas, primarily under long-term, fee-based gathering agreements, which include acreage dedications. XTO and Ascent are the key customers of Summit Utica and the AMIs from our customers for this system cover approximately 87,000 surface acres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connected a substantial number of our customers’ pad sites to our Summit Utica system and we expect to benefit from incremental volumes arising from drilling and completion activity that is occurring and will continue to occur on new and previously connected pad sites in our service area. Over time, we intend to expand our midstream service offerings for the Summit Utica system to connect additional customer pad sites and install centralized compression facilities. Centralized compression services have been dedicated to us in our gathering agreements and will eventually constitute a new revenue stream from our customers; however, to date, this service has not been required given the relatively high downhole pressures exhibited by dry gas wells in the Utica Shale compared to other unconventional shale plays.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Summit Utica system interconnects with the Ohio River System pipeline, which provides access to the Clarington Hub and Rover Pipeline. </w:t>
      </w:r>
    </w:p>
    <w:p>
      <w:pPr>
        <w:pStyle w:val="TextBody"/>
        <w:spacing w:lineRule="auto" w:line="288" w:before="120" w:after="283"/>
        <w:rPr/>
      </w:pPr>
      <w:r>
        <w:rPr>
          <w:rFonts w:ascii="Times New Roman;sans-serif" w:hAnsi="Times New Roman;sans-serif"/>
          <w:b w:val="false"/>
          <w:i/>
          <w:color w:val="000000"/>
          <w:sz w:val="20"/>
          <w:u w:val="single"/>
        </w:rPr>
        <w:t>Mountaineer Midstream system</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Mountaineer Midstream system, within the Marcellus shale, is located in Doddridge and Harrison counties in West Virginia where it gathers natural gas under a long-term, fee-based contract with Antero Resources Corporation (“Antero”), which is targeting liquids-rich natural gas production from the Marcellus Shale formation in the Appalachian Basin. Volume throughput on the Mountaineer Midstream system is underpinned by minimum revenue commitments from Antero.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Mountaineer Midstream system consists of a high-pressure natural gas gathering system and two compressor stations. This system gathers high-pressure natural gas received from upstream pipeline interconnections with Antero Midstream and Crestwood Equity Partners LP. Mountaineer Midstream serves as a critical inlet to the Sherwood Processing Complex, a primary destination for liquids-rich natural gas in northern West Virginia and one of the largest natural gas processing facilities in the United States.</w:t>
      </w:r>
    </w:p>
    <w:p>
      <w:pPr>
        <w:pStyle w:val="TextBody"/>
        <w:spacing w:lineRule="auto" w:line="288" w:before="120" w:after="283"/>
        <w:rPr/>
      </w:pPr>
      <w:r>
        <w:rPr>
          <w:rFonts w:ascii="Times New Roman;sans-serif" w:hAnsi="Times New Roman;sans-serif"/>
          <w:b w:val="false"/>
          <w:i/>
          <w:color w:val="000000"/>
          <w:sz w:val="20"/>
          <w:u w:val="single"/>
        </w:rPr>
        <w:t>Ohio Gathering</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Ohio Gathering comprises a natural gas gathering system and condensate stabilization facility located in the core of the Utica Shale in southeastern Ohio. The gathering system spans the condensate, liquids-rich and dry gas windows of the Utica Shale for multiple producers that are targeting production from the Utica and Point Pleasant shale formations across Belmont, Monroe, Guernsey, Harrison and Noble counties in southeastern Ohio. Ohio Gathering is operated by our partner, MPLX. Substantially all gathering services on the Ohio Gathering system are provided pursuant to long-term, fee-based gathering agreements. Ascent and Gulfport are Ohio Gathering's key customers and the AMIs from our customers for this system cover approximately 825,000 surface acres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Condensate and liquids-rich natural gas production is gathered, compressed, dehydrated and delivered to the Cadiz and Seneca processing complexes, which offer approximately 1.3 Bcf/d of processing capacity and are owned by a joint venture between MPLX and The Energy and Minerals Group. Dry gas production is gathered, dehydrated, compressed, and delivered to third-party pipelines serving the northeast and midwest markets.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owned approximately a 37.8% interest in Ohio Gathering, which includes our ownership in OGC and OCC. For additional information, see Note 6 - Equity Method Investments to the consolidated financial statements.</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Rockies.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Rockies reportable segment as of December 31, 2021.</w:t>
      </w:r>
    </w:p>
    <w:tbl>
      <w:tblPr>
        <w:tblW w:w="10205" w:type="dxa"/>
        <w:jc w:val="left"/>
        <w:tblInd w:w="0" w:type="dxa"/>
        <w:tblCellMar>
          <w:top w:w="28" w:type="dxa"/>
          <w:left w:w="28" w:type="dxa"/>
          <w:bottom w:w="28" w:type="dxa"/>
          <w:right w:w="28" w:type="dxa"/>
        </w:tblCellMar>
      </w:tblPr>
      <w:tblGrid>
        <w:gridCol w:w="283"/>
        <w:gridCol w:w="248"/>
        <w:gridCol w:w="250"/>
        <w:gridCol w:w="371"/>
        <w:gridCol w:w="371"/>
        <w:gridCol w:w="373"/>
        <w:gridCol w:w="109"/>
        <w:gridCol w:w="109"/>
        <w:gridCol w:w="109"/>
        <w:gridCol w:w="371"/>
        <w:gridCol w:w="371"/>
        <w:gridCol w:w="373"/>
        <w:gridCol w:w="109"/>
        <w:gridCol w:w="109"/>
        <w:gridCol w:w="109"/>
        <w:gridCol w:w="349"/>
        <w:gridCol w:w="349"/>
        <w:gridCol w:w="350"/>
        <w:gridCol w:w="109"/>
        <w:gridCol w:w="109"/>
        <w:gridCol w:w="109"/>
        <w:gridCol w:w="337"/>
        <w:gridCol w:w="337"/>
        <w:gridCol w:w="338"/>
        <w:gridCol w:w="109"/>
        <w:gridCol w:w="109"/>
        <w:gridCol w:w="109"/>
        <w:gridCol w:w="578"/>
        <w:gridCol w:w="578"/>
        <w:gridCol w:w="579"/>
        <w:gridCol w:w="109"/>
        <w:gridCol w:w="109"/>
        <w:gridCol w:w="109"/>
        <w:gridCol w:w="513"/>
        <w:gridCol w:w="513"/>
        <w:gridCol w:w="738"/>
      </w:tblGrid>
      <w:tr>
        <w:trPr/>
        <w:tc>
          <w:tcPr>
            <w:tcW w:w="2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throughput capacity -</w:t>
              <w:br/>
              <w:t>liquids (Mbbl/d)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throughput capacity -</w:t>
              <w:br/>
              <w:t>natural gas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color w:val="000000"/>
                <w:sz w:val="16"/>
              </w:rPr>
              <w:t>Average daily MVCs through 2026 (MMcf/d)</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color w:val="000000"/>
                <w:sz w:val="16"/>
              </w:rPr>
              <w:t>Remaining MVCs (Bcfe)</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color w:val="000000"/>
                <w:sz w:val="16"/>
              </w:rPr>
              <w:t>Weighted-average remaining contract life (Years)</w:t>
            </w:r>
            <w:r>
              <w:rPr>
                <w:rFonts w:ascii="Times New Roman;sans-serif" w:hAnsi="Times New Roman;sans-serif"/>
                <w:b/>
                <w:color w:val="000000"/>
                <w:sz w:val="9"/>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color w:val="000000"/>
                <w:sz w:val="16"/>
              </w:rPr>
              <w:t>Weighted-average remaining MVC life (Years)</w:t>
            </w:r>
            <w:r>
              <w:rPr>
                <w:rFonts w:ascii="Times New Roman;sans-serif" w:hAnsi="Times New Roman;sans-serif"/>
                <w:b/>
                <w:color w:val="000000"/>
                <w:sz w:val="9"/>
              </w:rPr>
              <w:t>(1)(2)</w:t>
            </w:r>
          </w:p>
        </w:tc>
      </w:tr>
      <w:tr>
        <w:trPr/>
        <w:tc>
          <w:tcPr>
            <w:tcW w:w="78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11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Contract terms related to MVCs are presented for liquids and natural gas on a combined basis.</w:t>
      </w:r>
    </w:p>
    <w:p>
      <w:pPr>
        <w:pStyle w:val="TextBody"/>
        <w:spacing w:lineRule="auto" w:line="288" w:before="0" w:after="0"/>
        <w:ind w:left="0" w:right="0" w:hanging="360"/>
        <w:rPr/>
      </w:pPr>
      <w:r>
        <w:rPr>
          <w:rFonts w:ascii="Times New Roman;sans-serif" w:hAnsi="Times New Roman;sans-serif"/>
          <w:b w:val="false"/>
          <w:color w:val="000000"/>
          <w:sz w:val="12"/>
        </w:rPr>
        <w:t>(2)</w:t>
      </w:r>
      <w:r>
        <w:rPr>
          <w:rFonts w:ascii="Times New Roman;sans-serif" w:hAnsi="Times New Roman;sans-serif"/>
          <w:b w:val="false"/>
          <w:color w:val="000000"/>
          <w:sz w:val="18"/>
        </w:rPr>
        <w:t>Weighted average based on total remaining MVC (total remaining MVCs multiplied by average rate).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AMIs for the Rockies reportable segment total approximately 1.3 million surface acres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Rockies reportable segment is comprised of our Polar and Divide system, Bison Midstream, and Niobrara G&amp;P system.</w:t>
      </w:r>
    </w:p>
    <w:p>
      <w:pPr>
        <w:pStyle w:val="TextBody"/>
        <w:spacing w:lineRule="auto" w:line="288" w:before="120" w:after="283"/>
        <w:rPr/>
      </w:pPr>
      <w:r>
        <w:rPr>
          <w:rFonts w:ascii="Times New Roman;sans-serif" w:hAnsi="Times New Roman;sans-serif"/>
          <w:b w:val="false"/>
          <w:i/>
          <w:color w:val="000000"/>
          <w:sz w:val="20"/>
          <w:u w:val="single"/>
        </w:rPr>
        <w:t>Polar and Divide system</w:t>
      </w:r>
      <w:r>
        <w:rPr>
          <w:rFonts w:ascii="Times New Roman;sans-serif" w:hAnsi="Times New Roman;sans-serif"/>
          <w:b w:val="false"/>
          <w:color w:val="000000"/>
          <w:sz w:val="20"/>
          <w:u w:val="single"/>
        </w:rPr>
        <w:t>.</w:t>
      </w:r>
      <w:r>
        <w:rPr>
          <w:color w:val="000000"/>
        </w:rPr>
        <w:t> </w:t>
      </w:r>
      <w:r>
        <w:rPr>
          <w:rFonts w:ascii="Times New Roman;sans-serif" w:hAnsi="Times New Roman;sans-serif"/>
          <w:b w:val="false"/>
          <w:color w:val="000000"/>
          <w:sz w:val="20"/>
        </w:rPr>
        <w:t>The Polar and Divide system, collectively Polar Midstream and Epping, which is located primarily in Williams and Divide counties in northwestern North Dakota, owns, operates 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and MVCs. Whiting, Zavanna, Crescent Point and Enerplus are the key customers of the Polar and Divide system.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Crude oil that is gathered by the Polar and Divide system is delivered to interconnects with (i) the Dakota Access Pipeline, (ii) the COLT Hub rail facility, (iii) Enbridge Inc’s North Dakota Pipeline System and (iv) Global Partners LP's Basin Transload rail terminal. Produced water is delivered to third-party disposal facilities.</w:t>
      </w:r>
    </w:p>
    <w:p>
      <w:pPr>
        <w:pStyle w:val="TextBody"/>
        <w:spacing w:lineRule="auto" w:line="288" w:before="120" w:after="283"/>
        <w:rPr/>
      </w:pPr>
      <w:r>
        <w:rPr>
          <w:rFonts w:ascii="Times New Roman;sans-serif" w:hAnsi="Times New Roman;sans-serif"/>
          <w:b w:val="false"/>
          <w:i/>
          <w:color w:val="000000"/>
          <w:sz w:val="20"/>
          <w:u w:val="single"/>
        </w:rPr>
        <w:t>Bison Midstream system.</w:t>
      </w:r>
      <w:r>
        <w:rPr>
          <w:color w:val="000000"/>
        </w:rPr>
        <w:t> </w:t>
      </w:r>
      <w:r>
        <w:rPr>
          <w:rFonts w:ascii="Times New Roman;sans-serif" w:hAnsi="Times New Roman;sans-serif"/>
          <w:b w:val="false"/>
          <w:color w:val="000000"/>
          <w:sz w:val="20"/>
        </w:rPr>
        <w:t>The Bison Midstream system is located in Mountrail and Burke counties in northwestern North Dakota. Bison Midstream gathers, compresses and treats associated natural gas that exists in the crude oil stream produced from the Bakken and Three Forks shale formations. Our gathering agreements for the Bison Midstream system include long-term, fee-based or percent-of-proceeds contracts. Volume throughput on the Bison Midstream system is underpinned by acreage dedications from its key customers. A large U.S. independent crude oil and natural gas company and Oasis Petroleum Inc. are the key customers of Bison Midstream.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Natural gas gathered on the Bison Midstream system is delivered to Aux Sable Midstream LLC's (“Aux Sable”) Palermo Conditioning Plant in Palermo, North Dakota and then delivered to downstream pipelines serving Aux Sable’s 2.1 Bcf/d natural gas processing plant in Channahon, Illinois.</w:t>
      </w:r>
    </w:p>
    <w:p>
      <w:pPr>
        <w:pStyle w:val="TextBody"/>
        <w:spacing w:lineRule="auto" w:line="288" w:before="120" w:after="283"/>
        <w:rPr/>
      </w:pPr>
      <w:r>
        <w:rPr>
          <w:rFonts w:ascii="Times New Roman;sans-serif" w:hAnsi="Times New Roman;sans-serif"/>
          <w:b w:val="false"/>
          <w:i/>
          <w:color w:val="000000"/>
          <w:sz w:val="20"/>
          <w:u w:val="single"/>
        </w:rPr>
        <w:t>Niobrara G&amp;P system</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Niobrara G&amp;P system is located near Hereford, Colorado, in rural Weld County, the largest crude oil and natural gas producing county in the state. Gathering and processing services on the Niobrara G&amp;P system are provided pursuant to long-term, fee-based gathering agreements with producers that are primarily targeting crude oil production from the Niobrara and Codell shale formations. Civitas Resources, Inc. and a large U.S. independent crude oil and natural gas company are the key customers of the Niobrara G&amp;P system and have underpinned our volume throughput with acreage dedications and MVCs.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Niobrara G&amp;P system operates a low-pressure associated natural gas gathering system, and a cryogenic natural gas processing plant with processing capacity of 60 MMcf/d. The Niobrara G&amp;P system also processes liquids-rich natural gas that is produced by a customer in Laramie County, Wyoming and is delivered to the inlet of our processing plant by a third-party gathering system.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Residue gas is delivered to the Colorado Interstate Gas and Trailblazer Pipeline and processed NGLs are delivered to the Overland Pass Pipeline.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Permian.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Permian reportable segment as of December 31, 2021.</w:t>
      </w:r>
    </w:p>
    <w:tbl>
      <w:tblPr>
        <w:tblW w:w="10205" w:type="dxa"/>
        <w:jc w:val="left"/>
        <w:tblInd w:w="0" w:type="dxa"/>
        <w:tblCellMar>
          <w:top w:w="28" w:type="dxa"/>
          <w:left w:w="28" w:type="dxa"/>
          <w:bottom w:w="28" w:type="dxa"/>
          <w:right w:w="28" w:type="dxa"/>
        </w:tblCellMar>
      </w:tblPr>
      <w:tblGrid>
        <w:gridCol w:w="388"/>
        <w:gridCol w:w="340"/>
        <w:gridCol w:w="343"/>
        <w:gridCol w:w="478"/>
        <w:gridCol w:w="478"/>
        <w:gridCol w:w="479"/>
        <w:gridCol w:w="109"/>
        <w:gridCol w:w="109"/>
        <w:gridCol w:w="109"/>
        <w:gridCol w:w="443"/>
        <w:gridCol w:w="443"/>
        <w:gridCol w:w="445"/>
        <w:gridCol w:w="109"/>
        <w:gridCol w:w="109"/>
        <w:gridCol w:w="109"/>
        <w:gridCol w:w="363"/>
        <w:gridCol w:w="363"/>
        <w:gridCol w:w="364"/>
        <w:gridCol w:w="109"/>
        <w:gridCol w:w="109"/>
        <w:gridCol w:w="109"/>
        <w:gridCol w:w="667"/>
        <w:gridCol w:w="667"/>
        <w:gridCol w:w="669"/>
        <w:gridCol w:w="109"/>
        <w:gridCol w:w="109"/>
        <w:gridCol w:w="109"/>
        <w:gridCol w:w="573"/>
        <w:gridCol w:w="573"/>
        <w:gridCol w:w="821"/>
      </w:tblGrid>
      <w:tr>
        <w:trPr/>
        <w:tc>
          <w:tcPr>
            <w:tcW w:w="38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r>
      <w:tr>
        <w:trPr/>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throughput capacity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 MVCs through 2026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MVCs (Bcf)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Weighted-average remaining contract life (Years)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MVC life (Years)</w:t>
            </w:r>
          </w:p>
        </w:tc>
      </w:tr>
      <w:tr>
        <w:trPr/>
        <w:tc>
          <w:tcPr>
            <w:tcW w:w="10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system</w:t>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143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Weighed based on contract AMI’s.</w:t>
      </w:r>
    </w:p>
    <w:p>
      <w:pPr>
        <w:pStyle w:val="TextBody"/>
        <w:spacing w:lineRule="auto" w:line="288" w:before="0" w:after="0"/>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Presented on a gross basis. Existing MVC’s contractually increase to 1.0 Bcf/d beginning in November 2024.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AMIs for the Permian reportable segment cover approximately 91,000 surface acres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Permian reportable segment is comprised of our Summit Permian system and our equity method investment in Double E.</w:t>
      </w:r>
    </w:p>
    <w:p>
      <w:pPr>
        <w:pStyle w:val="TextBody"/>
        <w:spacing w:lineRule="auto" w:line="288" w:before="120" w:after="283"/>
        <w:rPr/>
      </w:pPr>
      <w:r>
        <w:rPr>
          <w:rFonts w:ascii="Times New Roman;sans-serif" w:hAnsi="Times New Roman;sans-serif"/>
          <w:b w:val="false"/>
          <w:i/>
          <w:color w:val="000000"/>
          <w:sz w:val="20"/>
          <w:u w:val="single"/>
        </w:rPr>
        <w:t>Summit Permian system</w:t>
      </w:r>
      <w:r>
        <w:rPr>
          <w:rFonts w:ascii="Times New Roman;sans-serif" w:hAnsi="Times New Roman;sans-serif"/>
          <w:b w:val="false"/>
          <w:color w:val="000000"/>
          <w:sz w:val="20"/>
        </w:rPr>
        <w:t>. The Summit Permian system is an associated natural gas gathering and processing system operating in the northern Delaware Basin in Eddy and Lea counties in New Mexico. Gathering and processing services on the Summit Permian system are provided pursuant to long-term, fee-based gathering agreements with producers that are primarily targeting crude oil production from the Bone Spring and Wolfcamp shale formations. XTO is the key customer of the Summit Permian system.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Summit Permian system operates a low-pressure natural gas gathering system and a 60 MMcf/d cryogenic processing plant. Residue natural gas is delivered to the Double E and Transwestern Pipeline and processed NGLs are delivered to the Lone Star NGL Pipeline. </w:t>
      </w:r>
    </w:p>
    <w:p>
      <w:pPr>
        <w:pStyle w:val="TextBody"/>
        <w:spacing w:lineRule="auto" w:line="288" w:before="120" w:after="283"/>
        <w:rPr/>
      </w:pPr>
      <w:r>
        <w:rPr>
          <w:rFonts w:ascii="Times New Roman;sans-serif" w:hAnsi="Times New Roman;sans-serif"/>
          <w:b w:val="false"/>
          <w:i/>
          <w:color w:val="000000"/>
          <w:sz w:val="20"/>
          <w:u w:val="single"/>
        </w:rPr>
        <w:t>Double 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Double E is a 135 mile, 1.35 Bcf/d, FERC-regulated interstate natural gas transmission pipeline that commenced operations in November 2021 and provides transportation service from receipt points in the Delaware Basin to various delivery points in and around the Waha hub in Texas. Double E is underpinned by 1.0 Bcf/d of long-term take-or-pay contracts with Exxon, Marathon Oil, Matador Resource and Summit Midstream Marketing. In 2021, we entered into negotiated rate agreements with an average term of 10 years from the in-service date of the pipeline, which occurred on November 18, 2021 and with total MDTQ’s that increase from 585,000 Dth/d during the first year of the agreement to 1,000,000 Dth/d in the fourth year, which equates to approximately 74% of its certificated capacity of 1,350,000 Dth/d. Volume throughput is received from multiple processing plants, including Summit Permian’s Lane plant, XTO’s Cowboy plant, Lucid’s Roadrunner plant, San Mateo’s Black River plant and Sendero Midstream’s Carlsbad plant. The Partnership owns 70% of Double E and operates the pipeline.</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Piceance.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Piceance reportable segment as of December 31, 2021.</w:t>
      </w:r>
    </w:p>
    <w:tbl>
      <w:tblPr>
        <w:tblW w:w="10205" w:type="dxa"/>
        <w:jc w:val="left"/>
        <w:tblInd w:w="0" w:type="dxa"/>
        <w:tblCellMar>
          <w:top w:w="28" w:type="dxa"/>
          <w:left w:w="28" w:type="dxa"/>
          <w:bottom w:w="28" w:type="dxa"/>
          <w:right w:w="28" w:type="dxa"/>
        </w:tblCellMar>
      </w:tblPr>
      <w:tblGrid>
        <w:gridCol w:w="304"/>
        <w:gridCol w:w="268"/>
        <w:gridCol w:w="269"/>
        <w:gridCol w:w="492"/>
        <w:gridCol w:w="492"/>
        <w:gridCol w:w="494"/>
        <w:gridCol w:w="109"/>
        <w:gridCol w:w="109"/>
        <w:gridCol w:w="109"/>
        <w:gridCol w:w="461"/>
        <w:gridCol w:w="461"/>
        <w:gridCol w:w="463"/>
        <w:gridCol w:w="109"/>
        <w:gridCol w:w="109"/>
        <w:gridCol w:w="109"/>
        <w:gridCol w:w="369"/>
        <w:gridCol w:w="369"/>
        <w:gridCol w:w="370"/>
        <w:gridCol w:w="109"/>
        <w:gridCol w:w="109"/>
        <w:gridCol w:w="109"/>
        <w:gridCol w:w="684"/>
        <w:gridCol w:w="684"/>
        <w:gridCol w:w="685"/>
        <w:gridCol w:w="109"/>
        <w:gridCol w:w="109"/>
        <w:gridCol w:w="109"/>
        <w:gridCol w:w="593"/>
        <w:gridCol w:w="593"/>
        <w:gridCol w:w="846"/>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throughput capacity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 MVCs through 2026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MVCs (Bcf)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Weighted-average remaining contract life (Years)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Weighted-average remaining MVC life (Years)</w:t>
            </w:r>
            <w:r>
              <w:rPr>
                <w:rFonts w:ascii="Times New Roman;sans-serif" w:hAnsi="Times New Roman;sans-serif"/>
                <w:b/>
                <w:color w:val="000000"/>
                <w:sz w:val="9"/>
              </w:rPr>
              <w:t>(1)</w:t>
            </w:r>
          </w:p>
        </w:tc>
      </w:tr>
      <w:tr>
        <w:trPr/>
        <w:tc>
          <w:tcPr>
            <w:tcW w:w="841"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478"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spacing w:lineRule="auto" w:line="288" w:before="0" w:after="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Weighted average based on total remaining MVC (total remaining MVCs multiplied by average rate).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AMIs for the Piceance reportable segment cover approximately 553,000 surface acres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Piceance reportable segment is comprised of our Grand River gathering system.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Grand River is primarily located in Garfield County, one of the largest natural gas producing counties in Colorado. The Grand River system provides natural gas gathering services pursuant to primarily long-term and fee-based agreements with multiple producers, including its key customers, Caerus Oil and Gas and Terra Energy Partners. Volume throughput on the Grand River system is underpinned with acreage dedications and MVCs.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Grand River system is primarily a low-pressure gathering system located in western Colorado that gathers natural gas produced from directional wells targeting the liquids-rich Mesaverde formation. The Grand River system also gathers natural gas produced from the Mancos and Niobrara shale formations.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Natural gas gathered and/or processed on the Grand River system is compressed, dehydrated, processed and/or discharged to downstream pipelines serving (i) the Meeker Processing Complex, (ii) the Williams Processing Complex and (iii) the TransColorado Pipeline system. Processed NGLs from Grand River are injected into the Mid-America Pipeline system or delivered to local markets. In addition, certain of our gathering agreements with our customers on the Grand River system permit us to retain, and monetize for our own account, condensate volumes that naturally discharge from the liquids-rich natural gas as it moves across our system.</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Barnett.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operating information regarding our Barnett reportable segment as of December 31, 2021.</w:t>
      </w:r>
    </w:p>
    <w:tbl>
      <w:tblPr>
        <w:tblW w:w="10205" w:type="dxa"/>
        <w:jc w:val="left"/>
        <w:tblInd w:w="0" w:type="dxa"/>
        <w:tblCellMar>
          <w:top w:w="28" w:type="dxa"/>
          <w:left w:w="28" w:type="dxa"/>
          <w:bottom w:w="28" w:type="dxa"/>
          <w:right w:w="28" w:type="dxa"/>
        </w:tblCellMar>
      </w:tblPr>
      <w:tblGrid>
        <w:gridCol w:w="261"/>
        <w:gridCol w:w="229"/>
        <w:gridCol w:w="231"/>
        <w:gridCol w:w="454"/>
        <w:gridCol w:w="454"/>
        <w:gridCol w:w="456"/>
        <w:gridCol w:w="109"/>
        <w:gridCol w:w="109"/>
        <w:gridCol w:w="109"/>
        <w:gridCol w:w="488"/>
        <w:gridCol w:w="488"/>
        <w:gridCol w:w="490"/>
        <w:gridCol w:w="109"/>
        <w:gridCol w:w="109"/>
        <w:gridCol w:w="109"/>
        <w:gridCol w:w="378"/>
        <w:gridCol w:w="378"/>
        <w:gridCol w:w="379"/>
        <w:gridCol w:w="109"/>
        <w:gridCol w:w="109"/>
        <w:gridCol w:w="109"/>
        <w:gridCol w:w="703"/>
        <w:gridCol w:w="703"/>
        <w:gridCol w:w="705"/>
        <w:gridCol w:w="109"/>
        <w:gridCol w:w="109"/>
        <w:gridCol w:w="109"/>
        <w:gridCol w:w="612"/>
        <w:gridCol w:w="612"/>
        <w:gridCol w:w="876"/>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Throughput capacity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 MVCs through 2026 (MMcf/d)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MVCs (Bcf)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Weighted-average remaining contract life (Years)</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Weighted-average remaining MVC life (Years)</w:t>
            </w:r>
            <w:r>
              <w:rPr>
                <w:rFonts w:ascii="Times New Roman;sans-serif" w:hAnsi="Times New Roman;sans-serif"/>
                <w:b/>
                <w:color w:val="000000"/>
                <w:sz w:val="9"/>
              </w:rPr>
              <w:t>(1)</w:t>
            </w:r>
          </w:p>
        </w:tc>
      </w:tr>
      <w:tr>
        <w:trPr/>
        <w:tc>
          <w:tcPr>
            <w:tcW w:w="721"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36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Weighted average based on total remaining MVC (total remaining MVCs multiplied by average rate).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AMIs for the Barnett reportable segment cover approximately 124,000 surface acres.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Barnett reportable segment is comprised of DFW Midstream system.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DFW Midstream system is primarily located in southeastern Tarrant County, in north-central Texas. We consider this area to be the core of the core of the Barnett Shale because of the quality of the geology and the high production profile of the wells drilled to date in our service area. The DFW Midstream system is underpinned by a long-term, fee-based gathering agreements with Total Gas &amp; Power North America, Inc. (“Total”) and other customers. Total is the key customer for DFW Midstream.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pass through a portion of the power expense to our customers or retain a fixed percentage of the natural gas that we gather.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DFW Midstream system currently has six primary interconnections with third-party, primarily intrastate pipelines. These interconnections enable us to connect our customers, directly or indirectly, with the major natural gas market hubs in Texas and Louisiana.</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systems that we operate and/or have significant ownership interests in have a diverse group of customers and counterparties comprising affiliates and/or subsidiaries of some of the largest natural gas and crude oil producers in North America.</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Regulation of the Natural Gas and Crude Oil Industries</w:t>
      </w:r>
    </w:p>
    <w:p>
      <w:pPr>
        <w:pStyle w:val="TextBody"/>
        <w:spacing w:lineRule="auto" w:line="288" w:before="120" w:after="283"/>
        <w:rPr/>
      </w:pPr>
      <w:r>
        <w:rPr>
          <w:rFonts w:ascii="Times New Roman;sans-serif" w:hAnsi="Times New Roman;sans-serif"/>
          <w:b/>
          <w:i/>
          <w:color w:val="000000"/>
          <w:sz w:val="20"/>
        </w:rPr>
        <w:t xml:space="preserve">General. </w:t>
      </w:r>
      <w:r>
        <w:rPr>
          <w:rFonts w:ascii="Times New Roman;sans-serif" w:hAnsi="Times New Roman;sans-serif"/>
          <w:b w:val="false"/>
          <w:color w:val="000000"/>
          <w:sz w:val="20"/>
        </w:rPr>
        <w:t>Sales by producers of natural gas, crude oil, condensate and NGLs are currently made at market prices. However, gathering and transportation services are subject to various types of 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w:t>
      </w:r>
      <w:r>
        <w:rPr>
          <w:color w:val="000000"/>
        </w:rPr>
        <w:t> </w:t>
      </w:r>
      <w:r>
        <w:rPr>
          <w:rFonts w:ascii="Times New Roman;sans-serif" w:hAnsi="Times New Roman;sans-serif"/>
          <w:b w:val="false"/>
          <w:color w:val="000000"/>
          <w:sz w:val="20"/>
        </w:rPr>
        <w:t>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pStyle w:val="TextBody"/>
        <w:spacing w:lineRule="auto" w:line="288" w:before="120" w:after="283"/>
        <w:rPr/>
      </w:pPr>
      <w:r>
        <w:rPr>
          <w:rFonts w:ascii="Times New Roman;sans-serif" w:hAnsi="Times New Roman;sans-serif"/>
          <w:b/>
          <w:i/>
          <w:color w:val="000000"/>
          <w:sz w:val="20"/>
        </w:rPr>
        <w:t>Regulation of Crude Oil and Natural Gas Exploration, Production and Sales. </w:t>
      </w:r>
      <w:r>
        <w:rPr>
          <w:rFonts w:ascii="Times New Roman;sans-serif" w:hAnsi="Times New Roman;sans-serif"/>
          <w:b w:val="false"/>
          <w:color w:val="000000"/>
          <w:sz w:val="20"/>
        </w:rPr>
        <w:t>Sales of crude oil and NGLs are not currently regulated and are transacted at market prices. In 1989, the U.S. Congress 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pStyle w:val="TextBody"/>
        <w:spacing w:lineRule="auto" w:line="288" w:before="120" w:after="283"/>
        <w:rPr/>
      </w:pPr>
      <w:r>
        <w:rPr>
          <w:rFonts w:ascii="Times New Roman;sans-serif" w:hAnsi="Times New Roman;sans-serif"/>
          <w:b/>
          <w:i/>
          <w:color w:val="000000"/>
          <w:sz w:val="20"/>
        </w:rPr>
        <w:t>Regulation of the Gathering and Transportation of Natural Gas and Crude Oil. </w:t>
      </w:r>
      <w:r>
        <w:rPr>
          <w:rFonts w:ascii="Times New Roman;sans-serif" w:hAnsi="Times New Roman;sans-serif"/>
          <w:b w:val="false"/>
          <w:color w:val="000000"/>
          <w:sz w:val="20"/>
        </w:rPr>
        <w:t>We believe that the majority of our natural gas pipeline facilities qualify as gathering facilities that are exempt from the jurisdiction of FERC. Our Double E Pipeline, which is an interstate natural gas pipeline located in New Mexico and Texas, and Epping Pipeline interstate crude oil pipeline, which is located in North Dakota and owned and operated by Epping, are subject to FERC’s jurisdiction and oversight pursuant to FERC's authority under the NGA and the ICA, respectively. Epping and Double E have tariffs on file with FERC.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approving and regulating the construction and operation of interstate natural gas pipelines, FERC also regulates such pipelines’ rates and terms and conditions of service, including transportation service agreements and negotiated rate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FERC’s ICA jurisdiction, rates for interstate movements of liquids by pipeline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For the five-year period beginning on July 1, 2016, FERC established an annual index adjustment equal to the change in the producer price index for finished goods plus 1.23%. In 2016, FERC proposed a policy change that would deny proposed index increases for pipelines under certain circumstances where revenues exceed cost-of-service by a certain percentage or where the proposed index increases exceed certain annual cost changes reported to FERC. FERC terminated this rulemaking on February 20, 2020 without adopting any part of the proposal. FERC completed its five-year review of its index adjustment by issuing an order on December 17, 2020 adopting a new annual index adjustment of the producer price index for finished goods plus 0.78% to become effective starting July 1, 2021. FERC’s order is subject to rehearing and possible judicial review.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 The rates charged by Epping may also be affected by FERC’s March 15, 2018 announcement of a revised policy eliminating the recovery of an income tax allowance in cost-of-service-based rates by FERC-jurisdictional crude oil and natural gas pipelines owned by master limited partnerships. FERC has not required oil pipelines on an industry-wide basis to decrease their rates to implement the new policy, but FERC has stated that the effects of the revised policy statement must be incorporated in annual FERC financial reports made by oil pipelines. The effect of the elimination of the income tax allowance for MLP pipelines, as well as the reduction in the corporate income tax rate resulting from the Tax Cuts and Jobs Act of 2017 (the “Tax Reform Legislation”), was considered in FERC’s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five-year review of index rate adjustments which resulted in the December 17, 2020 order adopting a new annual index adjustment for the five-year period starting July 1,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Epping’s ability to set rates based on costs or could order reduced rates and reparations to complaining shippers for up to two years prior to the date of a complaint. FERC also has the authority to change terms and conditions of service if it determines that they are unjust and unreasonable or unduly discriminatory or preferential. The ICA also imposes potential criminal liability for certain violations of the statute.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FERC has jurisdiction over, among other things, the construction, ownership and commercial operation of pipelines and related facilities used in the transportation and storage of natural gas in interstate commerce, including the modification, extension, enlargement, and abandonment of such facilities. FERC also has jurisdiction over the rates, charges, and term and conditions of service for the transportation and storage of natural gas in interstate commerce. With respect to transportation rates, FERC exercises its ratemaking authority by applying cost-of-service principles to limit the maximum and minimum levels of tariff-based recourse rates; however, it also allows for discounted or negotiated rates as an alternative to cost-based rates. In addition, FERC regulations also restrict interstate natural gas pipelines from sharing certain transportation or customer information with marketing affiliates and require that the transmission function personnel of interstate natural gas pipelines operate independently of the marketing function personnel of the pipeline or its affiliates.</w:t>
      </w:r>
    </w:p>
    <w:p>
      <w:pPr>
        <w:pStyle w:val="TextBody"/>
        <w:spacing w:lineRule="auto" w:line="288" w:before="120" w:after="283"/>
        <w:rPr/>
      </w:pPr>
      <w:r>
        <w:rPr>
          <w:rFonts w:ascii="Times New Roman;sans-serif" w:hAnsi="Times New Roman;sans-serif"/>
          <w:b w:val="false"/>
          <w:color w:val="000000"/>
          <w:sz w:val="20"/>
        </w:rPr>
        <w:t>Pursuant to the NGA, existing interstate natural gas transportation and storage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Double E currently holds authority from the FERC to charge and collect (i) “recourse rates,” which are the maximum cost-based rates an interstate natural gas pipeline may charge for its services under its tariff; (ii) “discount rates,” which are rates offered by the natural gas pipeline to shippers at discounts vis-à-vis the recourse rates and that fall within the cost-based maximum and minimum rate levels set forth in the natural gas pipeline's tariff; and (iii) “negotiated rates,” which are rates negotiated and agreed to by the pipeline and the shipper for the contract term that may fall within or outside of the cost-based maximum and minimum rate levels set forth in the tariff, and which are individually filed with the FERC for review and acceptance.</w:t>
      </w:r>
      <w:r>
        <w:rPr>
          <w:color w:val="000000"/>
        </w:rPr>
        <w:t xml:space="preserve"> </w:t>
      </w:r>
      <w:r>
        <w:rPr>
          <w:rFonts w:ascii="Times New Roman;sans-serif" w:hAnsi="Times New Roman;sans-serif"/>
          <w:b w:val="false"/>
          <w:color w:val="000000"/>
          <w:sz w:val="20"/>
        </w:rPr>
        <w:t>On November 18, 2021, we entered into negotiated rate agreements with an average term of 10 years from the in-service date of the pipeline and with total MDTQ’s that increase from 585,000 Dth/d during the first year of the agreement to 1,000,000 Dth/d in the fourth year, which equates to approximately 74% of its certificated capacity of 1,350,000 Dth/d. When capacity is available and offered for sale, the rates (which include reservation, commodity, surcharges, and fixed fuel and lost and unaccounted for charges) and the terms and conditions at which such capacity is sold are subject to regulatory approval and oversight.</w:t>
      </w:r>
      <w:r>
        <w:rPr>
          <w:color w:val="000000"/>
        </w:rPr>
        <w:t xml:space="preserve"> </w:t>
      </w:r>
      <w:r>
        <w:rPr>
          <w:rFonts w:ascii="Times New Roman;sans-serif" w:hAnsi="Times New Roman;sans-serif"/>
          <w:b w:val="false"/>
          <w:color w:val="000000"/>
          <w:sz w:val="20"/>
        </w:rPr>
        <w:t>Any successful challenge by a regulator or shipper in any of these matters could have a material adverse effect on our business, financial condition and results of operations.</w:t>
      </w:r>
    </w:p>
    <w:p>
      <w:pPr>
        <w:pStyle w:val="TextBody"/>
        <w:spacing w:lineRule="auto" w:line="288" w:before="120" w:after="283"/>
        <w:rPr/>
      </w:pPr>
      <w:r>
        <w:rPr>
          <w:rFonts w:ascii="Times New Roman;sans-serif" w:hAnsi="Times New Roman;sans-serif"/>
          <w:b w:val="false"/>
          <w:color w:val="000000"/>
          <w:sz w:val="20"/>
        </w:rPr>
        <w:t>Intrastate pipelines, which may include some pipelines that perform gathering functions, may be subject to safety regulation by the DOT, although typically state regulatory authorities (operating under a federal</w:t>
      </w:r>
      <w:r>
        <w:rPr>
          <w:color w:val="000000"/>
        </w:rPr>
        <w:t> </w:t>
      </w:r>
      <w:r>
        <w:rPr>
          <w:rFonts w:ascii="Times New Roman;sans-serif" w:hAnsi="Times New Roman;sans-serif"/>
          <w:b w:val="false"/>
          <w:color w:val="000000"/>
          <w:sz w:val="20"/>
        </w:rPr>
        <w:t>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 For example, in 2016, the North Dakota Industrial Commission (“NDIC”) adopted rule changes that resulted in additional construction and monitoring requirements for all pipelines, including, but not limited to, those that transport produced water. The NDIC has also adopted reclamation bonding requirements for certain underground gathering pipelines in North Dakota.</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pStyle w:val="TextBody"/>
        <w:spacing w:lineRule="auto" w:line="288" w:before="120" w:after="283"/>
        <w:rPr/>
      </w:pPr>
      <w:r>
        <w:rPr>
          <w:rFonts w:ascii="Times New Roman;sans-serif" w:hAnsi="Times New Roman;sans-serif"/>
          <w:b/>
          <w:i/>
          <w:color w:val="000000"/>
          <w:sz w:val="20"/>
        </w:rPr>
        <w:t>Statutory Compliance and Anti-Market Manipulation Rules. </w:t>
      </w:r>
      <w:r>
        <w:rPr>
          <w:rFonts w:ascii="Times New Roman;sans-serif" w:hAnsi="Times New Roman;sans-serif"/>
          <w:b w:val="false"/>
          <w:color w:val="000000"/>
          <w:sz w:val="20"/>
        </w:rPr>
        <w:t>We are subject to the anti-market manipulation and penalty provisions in the NGA and the NGPA, as amended by the Energy Policy Act of 2005, which authorize FERC to impose fines of up to $1,388,496 per day per violation of the NGA, the NGPA, or their implementing rules, regulations, and orders subject to future adjustments for inflation. In addition, the FTC holds statutory authority under the Energy Independence and Security Act of 2007 to prevent market manipulation in petroleum markets, including the authority to request that a court impose fines of up to $1,323,791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$1,303,559 per day per violation, subject to future adjustment for inflation, or triple the monetary gain to the violator for violations of the anti-market manipulation sections of the CEA. We are also subject to various reporting requirements that are designed to facilitate transparency and prevent market manipulation.</w:t>
      </w:r>
    </w:p>
    <w:p>
      <w:pPr>
        <w:pStyle w:val="TextBody"/>
        <w:spacing w:lineRule="auto" w:line="288" w:before="120" w:after="283"/>
        <w:rPr/>
      </w:pPr>
      <w:r>
        <w:rPr>
          <w:rFonts w:ascii="Times New Roman;sans-serif" w:hAnsi="Times New Roman;sans-serif"/>
          <w:b/>
          <w:i/>
          <w:color w:val="000000"/>
          <w:sz w:val="20"/>
        </w:rPr>
        <w:t>Safety and Maintenance. </w:t>
      </w:r>
      <w:r>
        <w:rPr>
          <w:rFonts w:ascii="Times New Roman;sans-serif" w:hAnsi="Times New Roman;sans-serif"/>
          <w:b w:val="false"/>
          <w:color w:val="000000"/>
          <w:sz w:val="20"/>
        </w:rPr>
        <w:t>We are subject to regulation by the DOT, which establishes federal safety standards for the design, construction, operation and maintenance of natural gas and crude oil pipeline facilities. In the Pipeline Safety Act of 1992, Congress expanded the DOT's regulatory authority to include regulated gathering lines that had previously been exempt from federal jurisdiction. Additional legislation has been passed over the years to reauthorize federal funding for federal pipeline programs, increase penalties for safety violations and establish additional safety requirements. For example,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 programs for certain pipelines located in high consequence areas, which include high-population areas such as the Dallas-Fort Worth greater metropolitan area where our DFW Midstream system is located. While the majority of our pipelines have historically met the DOT definition of gathering lines and were thus exempt from the integrity management requirements of PHMSA, we also operate a limited number of pipelines that are subject to the integrity management requirements. Those regulations require operators, including us, to: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perform ongoing assessments of pipeline integrity;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identify and characterize applicable threats to pipeline segments that could impact a high consequence area;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maintain processes for data collection, integration and analysis;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repair and remediate pipelines as necessary;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adopt and maintain procedures, standards and training programs for control room operations;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implement preventive and mitigating actions.</w:t>
      </w:r>
    </w:p>
    <w:p>
      <w:pPr>
        <w:pStyle w:val="TextBody"/>
        <w:spacing w:lineRule="auto" w:line="288" w:before="120" w:after="283"/>
        <w:rPr/>
      </w:pPr>
      <w:r>
        <w:rPr>
          <w:rFonts w:ascii="Times New Roman;sans-serif" w:hAnsi="Times New Roman;sans-serif"/>
          <w:b w:val="false"/>
          <w:color w:val="000000"/>
          <w:sz w:val="20"/>
        </w:rPr>
        <w:t>In addition, PHMSA has taken recent action to regulate gathering systems, which includes integrity management requirements. In November 2021, PHMSA issued a final rule that extended pipeline safety requirements to onshore gas gathering pipelines. The rule requires all onshore gas gathering pipeline operators to comply with PHMSA’s incident and annual reporting requirements.</w:t>
      </w:r>
      <w:r>
        <w:rPr>
          <w:color w:val="000000"/>
        </w:rPr>
        <w:t xml:space="preserve"> </w:t>
      </w:r>
      <w:r>
        <w:rPr>
          <w:rFonts w:ascii="Times New Roman;sans-serif" w:hAnsi="Times New Roman;sans-serif"/>
          <w:b w:val="false"/>
          <w:color w:val="000000"/>
          <w:sz w:val="20"/>
        </w:rPr>
        <w:t>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becomes effective in May 2022 and operators must comply with the applicable safety requirements by November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PHMSA has also imposed additional requirements on onshore gas transmission systems and hazardous liquids pipelines in recent years. In October 2019, the PHMSA issued three new final rules. One rule, which became effective in December 2019,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which became effective in July 2020, imposed several new requirements on operators of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PHMSA modified the rule in July 2020, in response to a petition for reconsideration, to limit the rule’s recordkeeping requirement related to class location changes to gas transmission pipelines (not gas distribution pipelines) and to clarify that the rule’s reconfirmation requirements related to MAOP is limited to segments without traceable, verifiable and complete pressure test records.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Gathering systems like ours are also subject to a number of other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spacing w:lineRule="auto" w:line="288" w:before="120" w:after="283"/>
        <w:rPr/>
      </w:pPr>
      <w:r>
        <w:rPr>
          <w:rFonts w:ascii="Times New Roman;sans-serif" w:hAnsi="Times New Roman;sans-serif"/>
          <w:b/>
          <w:i/>
          <w:color w:val="000000"/>
          <w:sz w:val="20"/>
        </w:rPr>
        <w:t>General. </w:t>
      </w:r>
      <w:r>
        <w:rPr>
          <w:rFonts w:ascii="Times New Roman;sans-serif" w:hAnsi="Times New Roman;sans-serif"/>
          <w:b w:val="false"/>
          <w:color w:val="000000"/>
          <w:sz w:val="20"/>
        </w:rPr>
        <w:t>Our operation of pipelines and other assets for the gathering, treating, transportation and/or processing of natural gas and the gathering of crude oil and produced water is subject to stringent 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requiring the installation of pollution-control equipment or otherwise restricting the way we operate;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limiting or prohibiting construction activities in sensitive areas, such as wetlands, coastal regions or areas inhabited by endangered or threatened species;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delaying system modification or upgrades during permit reviews;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requiring investigatory and remedial actions to mitigate pollution conditions caused by our operations or attributable to former operations;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enjoining the operations of facilities deemed to be in non-compliance with permits or permit requirements issued pursuant to or imposed by such environmental laws and regulations.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trend in environmental regulation is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material environmental laws and regulations that relate to our business.</w:t>
      </w:r>
    </w:p>
    <w:p>
      <w:pPr>
        <w:pStyle w:val="TextBody"/>
        <w:spacing w:lineRule="auto" w:line="288" w:before="120" w:after="283"/>
        <w:rPr/>
      </w:pPr>
      <w:r>
        <w:rPr>
          <w:rFonts w:ascii="Times New Roman;sans-serif" w:hAnsi="Times New Roman;sans-serif"/>
          <w:b/>
          <w:i/>
          <w:color w:val="000000"/>
          <w:sz w:val="20"/>
        </w:rPr>
        <w:t>Hazardous Substances and Waste. </w:t>
      </w:r>
      <w:r>
        <w:rPr>
          <w:rFonts w:ascii="Times New Roman;sans-serif" w:hAnsi="Times New Roman;sans-serif"/>
          <w:b w:val="false"/>
          <w:color w:val="000000"/>
          <w:sz w:val="20"/>
        </w:rPr>
        <w:t xml:space="preserve">Our operations are subject to environmental laws and regulations relating to the management and release of solid and hazardous wastes and other substances, 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pStyle w:val="TextBody"/>
        <w:spacing w:lineRule="auto" w:line="288" w:before="120" w:after="283"/>
        <w:rPr/>
      </w:pPr>
      <w:r>
        <w:rPr>
          <w:rFonts w:ascii="Times New Roman;sans-serif" w:hAnsi="Times New Roman;sans-serif"/>
          <w:b/>
          <w:i/>
          <w:color w:val="000000"/>
          <w:sz w:val="20"/>
        </w:rPr>
        <w:t>Air Emissions. </w:t>
      </w:r>
      <w:r>
        <w:rPr>
          <w:rFonts w:ascii="Times New Roman;sans-serif" w:hAnsi="Times New Roman;sans-serif"/>
          <w:b w:val="false"/>
          <w:color w:val="000000"/>
          <w:sz w:val="20"/>
        </w:rPr>
        <w:t>Our operations are subject to the federal CAA and comparable state and local laws and regulations. These laws and regulations regulate emissions of air pollutants from various 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pStyle w:val="TextBody"/>
        <w:spacing w:lineRule="auto" w:line="288" w:before="120" w:after="283"/>
        <w:rPr/>
      </w:pPr>
      <w:r>
        <w:rPr>
          <w:rFonts w:ascii="Times New Roman;sans-serif" w:hAnsi="Times New Roman;sans-serif"/>
          <w:b w:val="false"/>
          <w:color w:val="000000"/>
          <w:sz w:val="20"/>
        </w:rPr>
        <w:t>In October 2015, the EPA issued a new lower NAAQS for ozone. The previous ozone standard was set at 75 parts per billion (“ppb”). The revised standard has been lowered to 70 ppb. The lowered ozone NAAQS could subject us to increased regulatory burdens in the form of more stringent emission controls, emission offset requirements and increased permitting delays and costs. The EPA reviewed the 2015 standard in 2020, but retained the standard without revision.</w:t>
      </w:r>
      <w:r>
        <w:rPr>
          <w:color w:val="000000"/>
        </w:rPr>
        <w:t xml:space="preserve"> </w:t>
      </w:r>
      <w:r>
        <w:rPr>
          <w:rFonts w:ascii="Times New Roman;sans-serif" w:hAnsi="Times New Roman;sans-serif"/>
          <w:b w:val="false"/>
          <w:color w:val="000000"/>
          <w:sz w:val="20"/>
        </w:rPr>
        <w:t>Impacts from the 2015 standard vary by geographic location, but could include additional fees and more stringent permitting requirements, among other things. We will continue to monitor developments to determine if any adverse effects on our operations can be expected.</w:t>
      </w:r>
    </w:p>
    <w:p>
      <w:pPr>
        <w:pStyle w:val="TextBody"/>
        <w:spacing w:lineRule="auto" w:line="288" w:before="120" w:after="283"/>
        <w:rPr/>
      </w:pPr>
      <w:r>
        <w:rPr>
          <w:rFonts w:ascii="Times New Roman;sans-serif" w:hAnsi="Times New Roman;sans-serif"/>
          <w:b w:val="false"/>
          <w:color w:val="000000"/>
          <w:sz w:val="20"/>
        </w:rPr>
        <w:t>On June 3,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The revised rule applies to sources that have been modified, constructed, or reconstructed after September 18, 2015. Further, in November 2021, the EPA issued a new proposed rule targeting methane emissions from new and existing oil and gas sources.</w:t>
      </w:r>
      <w:r>
        <w:rPr>
          <w:color w:val="000000"/>
        </w:rPr>
        <w:t xml:space="preserve"> </w:t>
      </w:r>
      <w:r>
        <w:rPr>
          <w:rFonts w:ascii="Times New Roman;sans-serif" w:hAnsi="Times New Roman;sans-serif"/>
          <w:b w:val="false"/>
          <w:color w:val="000000"/>
          <w:sz w:val="20"/>
        </w:rPr>
        <w:t>The proposed rule would: (1) update NSPS OOOOa; (2) adopt a new NSPS OOOOb for sources that commence construction, modification or reconstruction after the date the proposed rule is published in the Federal Register; and (3) adopt a new NSPS OOOOc to establish emissions guidelines, which will inform state plans to establish standards for existing sources.</w:t>
      </w:r>
      <w:r>
        <w:rPr>
          <w:color w:val="000000"/>
        </w:rPr>
        <w:t xml:space="preserve"> </w:t>
      </w:r>
      <w:r>
        <w:rPr>
          <w:rFonts w:ascii="Times New Roman;sans-serif" w:hAnsi="Times New Roman;sans-serif"/>
          <w:b w:val="false"/>
          <w:color w:val="000000"/>
          <w:sz w:val="20"/>
        </w:rPr>
        <w:t>If finalized, these increasingly stringent requirements, or the application of new requirements to existing facilities, could result in additional restrictions on operations and increased compliance costs for us or 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16, 2016 the Bureau of Land Management (“BLM”) issued a final rule to reduce venting and flaring of natural gas on public and Indian lands. The final rule mirrors many of the requirements found in NSPS OOOOa, with additional natural gas royalty requirements for flared volumes at sites already connected to gas capture infrastructure. In September 2018, the BLM published a final rule that rescinded several requirements of this rule. However, in July 2020, the U.S. District Court for the Northern District of California vacated BLM’s 2018 revision rule. In addition, in October 2020, a Wyoming federal district judge vacated the 2016 venting and flaring rule. Environmental groups appealed the October 2020 decision in December 2020 and litigation is ongoing. While the rule, if implemented, is expected to have little or no direct impact on our operations, our customers that are primarily upstream wellhead operators may be impacted by the requirements in this rule.</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recent years, the EPA has also demonstrated an increased focus on CAA compliance for natural gas gathering operations. For example, in September 2019, EPA issued an enforcement alert noting that EPA identified CAA noncompliance caused by unauthorized and/or excess emissions from depressurizing pig launchers and receivers in natural gas gathering operations. The alert discussed engineering, design, operations, and maintenance practices that EPA found that can cause noncompliance and summarizes engineering solutions to reduce emissions. This increased focus on natural gas gathering operations and any resulting enforcement actions by the EPA or state agencies could subject us to monetary penalties, injunctions, conditions or restrictions on operations.</w:t>
      </w:r>
    </w:p>
    <w:p>
      <w:pPr>
        <w:pStyle w:val="TextBody"/>
        <w:spacing w:lineRule="auto" w:line="288" w:before="120" w:after="283"/>
        <w:rPr/>
      </w:pPr>
      <w:r>
        <w:rPr>
          <w:rFonts w:ascii="Times New Roman;sans-serif" w:hAnsi="Times New Roman;sans-serif"/>
          <w:b/>
          <w:i/>
          <w:color w:val="000000"/>
          <w:sz w:val="20"/>
        </w:rPr>
        <w:t>Water Discharges. </w:t>
      </w:r>
      <w:r>
        <w:rPr>
          <w:rFonts w:ascii="Times New Roman;sans-serif" w:hAnsi="Times New Roman;sans-serif"/>
          <w:b w:val="false"/>
          <w:color w:val="000000"/>
          <w:sz w:val="20"/>
        </w:rPr>
        <w:t>The CWA and analogous state laws impose restrictions and strict controls regarding the discharge of pollutants into regulated waters, which impacts our ability to conduct 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pStyle w:val="TextBody"/>
        <w:spacing w:lineRule="auto" w:line="288" w:before="120" w:after="283"/>
        <w:rPr/>
      </w:pPr>
      <w:r>
        <w:rPr>
          <w:rFonts w:ascii="Times New Roman;sans-serif" w:hAnsi="Times New Roman;sans-serif"/>
          <w:b/>
          <w:i/>
          <w:color w:val="000000"/>
          <w:sz w:val="20"/>
        </w:rPr>
        <w:t>Oil Pollution Control Act. </w:t>
      </w:r>
      <w:r>
        <w:rPr>
          <w:rFonts w:ascii="Times New Roman;sans-serif" w:hAnsi="Times New Roman;sans-serif"/>
          <w:b w:val="false"/>
          <w:color w:val="000000"/>
          <w:sz w:val="20"/>
        </w:rPr>
        <w:t>The OPA requires the preparation of an SPCC plan for facilities engaged in drilling, producing, gathering, storing, processing, refining, transferring, distributing, using, or consuming oil and oil products, and which due to their location, could reasonably be expected to discharge oil in harmful quantities into or upon the navigable waters of the United States.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 (intrafacility piping), inspections and records, security and training. Certain of our facilities are classified as SPCC-regulated facilities. We believe that they are in substantial compliance with all applicable requirements of OPA.</w:t>
      </w:r>
    </w:p>
    <w:p>
      <w:pPr>
        <w:pStyle w:val="TextBody"/>
        <w:spacing w:lineRule="auto" w:line="288" w:before="120" w:after="283"/>
        <w:rPr/>
      </w:pPr>
      <w:r>
        <w:rPr>
          <w:rFonts w:ascii="Times New Roman;sans-serif" w:hAnsi="Times New Roman;sans-serif"/>
          <w:b/>
          <w:i/>
          <w:color w:val="000000"/>
          <w:sz w:val="20"/>
        </w:rPr>
        <w:t xml:space="preserve">Hydraulic Fracturing. </w:t>
      </w:r>
      <w:r>
        <w:rPr>
          <w:rFonts w:ascii="Times New Roman;sans-serif" w:hAnsi="Times New Roman;sans-serif"/>
          <w:b w:val="false"/>
          <w:color w:val="000000"/>
          <w:sz w:val="20"/>
        </w:rPr>
        <w:t>Hydraulic fracturing is an important practice that is used to stimulate production of natural gas and/or crude oil from dense subsurface rock formations, and is primarily regulated by state agencies.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has yet to garner significant support.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EPA has also moved forward with various regulatory actions, including a proposal to issue new regulations under the New Source Performance Standards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“—Air Emissions” section above.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Litigation is currently ongoing.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 several federal governmental agencies have conducted reviews and studies on the environmental aspects of hydraulic fracturing, including the EPA. The results of such reviews or studies could spur initiatives to further regulate hydraulic fracturing.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recently have also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on June 15, 2021, a judge in the U.S. District Court for the Western District of Louisiana issued a nationwide temporary injunction blocking the suspension. The Department of the Interior appealed the U.S. District Court’s ruling, but resumed oil and gas leasing pending resolution of the appeal.</w:t>
      </w:r>
      <w:r>
        <w:rPr>
          <w:color w:val="000000"/>
        </w:rPr>
        <w:t xml:space="preserve"> </w:t>
      </w:r>
      <w:r>
        <w:rPr>
          <w:rFonts w:ascii="Times New Roman;sans-serif" w:hAnsi="Times New Roman;sans-serif"/>
          <w:b w:val="false"/>
          <w:color w:val="000000"/>
          <w:sz w:val="20"/>
        </w:rPr>
        <w:t>In November 2021, the Department of the Interior completed its review and issued a report on the federal oil and gas leasing program. The Department of the Interior’s report recommends several changes to federal leasing practices, including changes to royalty payments, bidding, and bonding requirements.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pStyle w:val="TextBody"/>
        <w:spacing w:lineRule="auto" w:line="288" w:before="120" w:after="283"/>
        <w:rPr/>
      </w:pPr>
      <w:r>
        <w:rPr>
          <w:rFonts w:ascii="Times New Roman;sans-serif" w:hAnsi="Times New Roman;sans-serif"/>
          <w:b/>
          <w:i/>
          <w:color w:val="000000"/>
          <w:sz w:val="20"/>
        </w:rPr>
        <w:t>Endangered Species Act. </w:t>
      </w:r>
      <w:r>
        <w:rPr>
          <w:rFonts w:ascii="Times New Roman;sans-serif" w:hAnsi="Times New Roman;sans-serif"/>
          <w:b w:val="false"/>
          <w:color w:val="000000"/>
          <w:sz w:val="20"/>
        </w:rPr>
        <w:t>The Endangered Species Act restricts activities that may affect endangered or threatened species or their habitats. Some of our pipelines may be located in areas that are designated as habitats for endangered or threatened species.</w:t>
      </w:r>
    </w:p>
    <w:p>
      <w:pPr>
        <w:pStyle w:val="TextBody"/>
        <w:spacing w:lineRule="auto" w:line="288" w:before="120" w:after="283"/>
        <w:rPr/>
      </w:pPr>
      <w:r>
        <w:rPr>
          <w:rFonts w:ascii="Times New Roman;sans-serif" w:hAnsi="Times New Roman;sans-serif"/>
          <w:b/>
          <w:i/>
          <w:color w:val="000000"/>
          <w:sz w:val="20"/>
        </w:rPr>
        <w:t xml:space="preserve">National Environmental Policy Act. </w:t>
      </w:r>
      <w:r>
        <w:rPr>
          <w:rFonts w:ascii="Times New Roman;sans-serif" w:hAnsi="Times New Roman;sans-serif"/>
          <w:b w:val="false"/>
          <w:color w:val="000000"/>
          <w:sz w:val="20"/>
        </w:rPr>
        <w:t>The NEPA establishes a national environmental policy and goals for the protection, maintenance and enhancement of the environment and provides a process for implementing these goals within federal agencies. Major projects having the potential to significantly impact the environment require review under NEPA. Many of our activities are covered under categorical exclusions which results in an expedited NEPA review process. Large upstream and downstream projects with significant cumulative impacts may be subject to longer NEPA review processes, which could impact the timing of those projects and our services associated with them.</w:t>
      </w:r>
    </w:p>
    <w:p>
      <w:pPr>
        <w:pStyle w:val="TextBody"/>
        <w:spacing w:lineRule="auto" w:line="288" w:before="120" w:after="283"/>
        <w:rPr/>
      </w:pPr>
      <w:r>
        <w:rPr>
          <w:rFonts w:ascii="Times New Roman;sans-serif" w:hAnsi="Times New Roman;sans-serif"/>
          <w:b/>
          <w:i/>
          <w:color w:val="000000"/>
          <w:sz w:val="20"/>
        </w:rPr>
        <w:t>Climate Change. </w:t>
      </w:r>
      <w:r>
        <w:rPr>
          <w:rFonts w:ascii="Times New Roman;sans-serif" w:hAnsi="Times New Roman;sans-serif"/>
          <w:b w:val="false"/>
          <w:color w:val="000000"/>
          <w:sz w:val="20"/>
        </w:rPr>
        <w:t>The EPA has adopted regulations under the CAA that, among other things, establish GHG emission limits from motor vehicles as well as establish PSD construction and Title V operating permit reviews for 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EPA rules also require the reporting of GHG emissions from specified large GHG-emitting sources in the United States,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focused on large sources of GHG emissions, such as electric power plants, it is possible that certain components of our operations, such as our gas-fired compressors, could become subject to state-level GHG-related regulation.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As part of rejoining the Paris Agreement, President Biden announced that the United States would commit to a 50 to 52 percent reduction from 2005 levels of GHG emissions by 2030 and set the goal of reaching net-zero GHG emissions by 2050. In addition, shortly after taking office in January 2021, President Biden issued a series of executive orders designed to address climate change. For example, the Executive Order on “Protecting Public Health and the Environment and Restoring Science to Tackle the Climate Crisis” sought to adopt new regulations and policies to address climate change and suspend, revise, or rescind, prior agency actions that were identified as conflicting with the Biden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rPr>
        <w:t>Administration’s climate policies.</w:t>
      </w:r>
      <w:r>
        <w:rPr>
          <w:color w:val="000000"/>
        </w:rPr>
        <w:t xml:space="preserve"> </w:t>
      </w:r>
      <w:r>
        <w:rPr>
          <w:rFonts w:ascii="Times New Roman;sans-serif" w:hAnsi="Times New Roman;sans-serif"/>
          <w:b w:val="false"/>
          <w:color w:val="000000"/>
          <w:sz w:val="20"/>
        </w:rPr>
        <w:t>New legislation to regulate GHG emissions has also been periodically introduced in the United States Congress, but none have passed. Reentry into the Paris Agreement, new legislation, or President Biden’s executive orders may result in the development of additional regulations or changes to existing regulations, which could have a material adverse effect on our business and that of 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Legislation or regulations that may be adopted to address climate change could also affect the markets for our products by making our products more or less desirable than competing sources of energy.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spacing w:lineRule="auto" w:line="288" w:before="120" w:after="283"/>
        <w:rPr/>
      </w:pPr>
      <w:r>
        <w:rPr>
          <w:rFonts w:ascii="Times New Roman;sans-serif" w:hAnsi="Times New Roman;sans-serif"/>
          <w:b/>
          <w:i/>
          <w:color w:val="000000"/>
          <w:sz w:val="20"/>
        </w:rPr>
        <w:t>Human Capital Resources.</w:t>
      </w:r>
      <w:r>
        <w:rPr>
          <w:color w:val="000000"/>
        </w:rPr>
        <w:t> </w:t>
      </w:r>
      <w:r>
        <w:rPr>
          <w:rFonts w:ascii="Times New Roman;sans-serif" w:hAnsi="Times New Roman;sans-serif"/>
          <w:b w:val="false"/>
          <w:color w:val="000000"/>
          <w:sz w:val="20"/>
        </w:rPr>
        <w:t>We recognize that our continued ability to attract, retain and motivate exceptional employees is vital to ensuring our long-term competitive advantage and the ability to create value for our unitholders. Our employees are critical to our long-term success and are essential to helping us meet our goals. Among other things, we support and incentivize our employees in the following ways: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Talent development, compensation and retention – We strive to provide our employees with a rewarding work environment, including the opportunity for success and a platform for personal and professional development. We provide a competitive benefits package designed to attract and retain a skilled and diverse workforce. We offer our employees a comprehensive benefits package, which includes company funded health plan options, vision and dental coverage, healthcare savings account, paid time off, parental leave and flexible spending accounts. We also provide professional training and development opportunities as well as education reimbursement. We also offer employees immediate eligibility in our 401(k) plan with company matching program.</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Health and safety – Employee health and safety in the workplace is one of our core values. Some of the ways in which we support the health and safety of our employees include wellness programs with incentives and employee assistance programs.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Inclusion and diversity – We are committed to efforts to increase diversity and foster an inclusive work environment that supports our workforce.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Partnership employed 209 people who provide direct, full-time support to our operations. None of our employees are covered by collective bargaining agreements, and we have never experienced any business interruption as a result of any labor disputes.</w:t>
      </w:r>
    </w:p>
    <w:p>
      <w:pPr>
        <w:pStyle w:val="TextBody"/>
        <w:spacing w:lineRule="auto" w:line="288" w:before="120" w:after="283"/>
        <w:rPr/>
      </w:pPr>
      <w:r>
        <w:rPr>
          <w:rFonts w:ascii="Times New Roman;sans-serif" w:hAnsi="Times New Roman;sans-serif"/>
          <w:b/>
          <w:i/>
          <w:color w:val="000000"/>
          <w:sz w:val="20"/>
        </w:rPr>
        <w:t>Availability of Reports.</w:t>
      </w:r>
      <w:r>
        <w:rPr>
          <w:color w:val="000000"/>
        </w:rPr>
        <w:t> </w:t>
      </w:r>
      <w:r>
        <w:rPr>
          <w:rFonts w:ascii="Times New Roman;sans-serif" w:hAnsi="Times New Roman;sans-serif"/>
          <w:b w:val="false"/>
          <w:color w:val="000000"/>
          <w:sz w:val="20"/>
        </w:rPr>
        <w:t xml:space="preserve">We make certain filings with the SEC, including, among other filings, our annual report on Form 10-K, quarterly reports on Form 10-Q, current reports on Form 8-K and all amendments and exhibits to those reports, available free of charge through our website, www.summitmidstream.com, as soon as reasonably practicable after the date they are filed with, or furnished to, the SEC. </w:t>
      </w:r>
      <w:r>
        <w:rPr>
          <w:rFonts w:ascii="Times New Roman;sans-serif" w:hAnsi="Times New Roman;sans-serif"/>
          <w:b w:val="false"/>
          <w:color w:val="000000"/>
          <w:sz w:val="20"/>
          <w:highlight w:val="white"/>
        </w:rPr>
        <w:t xml:space="preserve">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 </w:t>
      </w:r>
      <w:r>
        <w:rPr>
          <w:rFonts w:ascii="Times New Roman;sans-serif" w:hAnsi="Times New Roman;sans-serif"/>
          <w:b w:val="false"/>
          <w:color w:val="000000"/>
          <w:sz w:val="20"/>
        </w:rPr>
        <w:t>The SEC maintains a website that contains reports, proxy and information statements, and other information regarding issuers that file electronically with the SEC through the SEC’s website, http://www.sec.gov.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following risk factors in addition to the other information included in this Annual Report. Each of these risk factors could adversely affect our business, operating results and financial condition, as well as adversely affect the value of an investment in our common units: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COVID-19</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COVID-19 pandemic has had, and is expected to continue to have, an adverse impact on our business, results of operations, financial position and 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its variants continues to be a rapidly evolving situation. The pandemic has resulted in widespread adverse impacts on the global economy and on our business, including our customers, employees, supply chain, and distribution network. We are currently unable to predict the ultimate impact that it may have on our business, future results of operations, financial position or cash flows. The extent to which our operations continue to be impacted by the COVID-19 pandemic will depend largely on future developments, which remain highly uncertain and cannot be accurately predicted. While many of the restrictions and measures initially implemented during 2020 have since been softened or lifted in varying degrees in different locations around the world, and the manufacture and distribution of COVID</w:t>
        <w:noBreakHyphen/>
        <w:t>19 vaccines during 2021 helped to initiate a recovery from the pandemic, the uncertainty regarding new potential variants of COVID-19 and the success of any vaccines in respect thereof, may in the future cause a reduction in global economic activity or prompt, the re-imposition of certain restrictions and measures. In addition, even if not required by governmental authorities, increases in COVID-19 cases, such as if a new variant emerges, may result in significantly reduced economic activity, particularly in affected areas, which could result in a sharp reduction in the demand for oil and a decline in oil prices as occurred during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have modified our business practices, including restricting employee travel, utilizing COVID-19 pandemic tax relief (as allowed by the Consolidated Appropriations Act, 2021, the “ERC Tax Credit”), modifying employee work locations, implementing social distancing and enhancing sanitary measures in our facilities. Many of our suppliers, vendors and service providers have made similar modifications. We may take further actions as government authorities require or recommend or as we determine to be in the best interests of our employees, customers, partners and suppliers. There is no certainty that such measures will be sufficient to mitigate the risks posed by the virus and its variants, in which case our employees may become sick, our ability to perform critical functions could be impaired, and we may be unable to respond to the needs of our business. The resumption of normal business operations after such interruptions may be delayed or constrained by lingering effects of COVID-19 on our suppliers, third-party service providers, and/or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COVID-19 pandemic, we have experienced difficulty in recruiting and hiring skilled labor throughout our organization. </w:t>
      </w:r>
    </w:p>
    <w:p>
      <w:pPr>
        <w:pStyle w:val="TextBody"/>
        <w:spacing w:lineRule="auto" w:line="288" w:before="120" w:after="283"/>
        <w:rPr/>
      </w:pPr>
      <w:r>
        <w:rPr>
          <w:rFonts w:ascii="Times New Roman;sans-serif" w:hAnsi="Times New Roman;sans-serif"/>
          <w:b w:val="false"/>
          <w:color w:val="000000"/>
          <w:sz w:val="20"/>
        </w:rPr>
        <w:t>Concerns over the prolonged negative effects of the COVID</w:t>
        <w:noBreakHyphen/>
        <w:t>19 outbreak on economic and business prospects across the world, including as a result of new variants of the virus, have also contributed to oil price volatility and uncertainty regarding the outlook for the global economy.</w:t>
      </w:r>
      <w:r>
        <w:rPr>
          <w:color w:val="000000"/>
        </w:rPr>
        <w:t xml:space="preserve"> </w:t>
      </w:r>
      <w:r>
        <w:rPr>
          <w:rFonts w:ascii="Times New Roman;sans-serif" w:hAnsi="Times New Roman;sans-serif"/>
          <w:b w:val="false"/>
          <w:color w:val="000000"/>
          <w:sz w:val="20"/>
        </w:rPr>
        <w:t>At this point, we cannot accurately predict the long-term effects current market conditions due to the COVID-19 pandemic will have on our business, which will depend on, among other factors, the duration of the continued outbreak, the effects of new virus variants, the extent of increased infection rates in response to economic re-openings, the efficacy of vaccines and the extent and overall economic effects of the continuing governmental response to the pandemic, including any lockdowns, other restrictions or a general slowdown of the reopening process in the affected areas.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impact of COVID-19 may also exacerbate other risks discussed below, any of which could have a material effect on us. This situation is changing rapidly, and additional impacts may arise that we are not aware of currently.</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not have sufficient cash from operations following the establishment of cash reserves and payment of fees and expenses, to enable us to pay distributions to holders of our common units.</w:t>
      </w:r>
    </w:p>
    <w:p>
      <w:pPr>
        <w:pStyle w:val="TextBody"/>
        <w:spacing w:lineRule="auto" w:line="288" w:before="120" w:after="283"/>
        <w:rPr/>
      </w:pPr>
      <w:r>
        <w:rPr>
          <w:rFonts w:ascii="Times New Roman;sans-serif" w:hAnsi="Times New Roman;sans-serif"/>
          <w:b w:val="false"/>
          <w:color w:val="000000"/>
          <w:sz w:val="20"/>
        </w:rPr>
        <w:t xml:space="preserve">We may not have sufficient available cash from operating surplus each quarter to pay the distributions to holders of our common units. </w:t>
      </w:r>
      <w:r>
        <w:rPr>
          <w:rFonts w:ascii="Times New Roman;sans-serif" w:hAnsi="Times New Roman;sans-serif"/>
          <w:b w:val="false"/>
          <w:color w:val="000000"/>
          <w:sz w:val="20"/>
          <w:highlight w:val="white"/>
        </w:rPr>
        <w:t xml:space="preserve">We have not made a distribution on our common units or Series A Preferred Units since we announced suspension of those distributions on May 3, 2020. </w:t>
      </w:r>
      <w:r>
        <w:rPr>
          <w:rFonts w:ascii="Times New Roman;sans-serif" w:hAnsi="Times New Roman;sans-serif"/>
          <w:b w:val="false"/>
          <w:color w:val="000000"/>
          <w:sz w:val="20"/>
        </w:rPr>
        <w:t>Further, we may not pay distributions on the common units or Series A Preferred Units in the foreseeable future, and there are restrictions on our ability to pay distributions under our outstanding indebtedness that restrict our ability to pay cash distributions on any of our equity securities. The amount of cash we can distribute on our units principally depends upon the amount of cash we generate from our operations, which will fluctuate from quarter to quarter based on, among other things: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volumes we gather, transport, treat and process;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level of production of natural gas and crude oil (and associated volumes of produced water) from wells connected to our gathering systems, which is dependent in part on the demand for, and the market prices of, crude oil, natural gas and NGLs;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damage to pipelines, facilities, related equipment and surrounding properties caused by earthquakes, floods, fires, severe weather, explosions and other natural disasters, accidents and acts of terrorism;</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leaks or accidental releases of hazardous materials into the environment;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weather conditions and seasonal trends;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the fees we charge for our services;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contractual MVCs and our customer’s capacity to make MVC shortfall payments when due;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level of competition from other midstream energy companies in our areas of operation;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changes in the level of our operating, maintenance and general and administrative expenses;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regulatory action affecting the supply of, or demand for, crude oil, natural gas and NGLs, the fees we can charge, how we contract for services, our existing contracts, our operating and maintenance costs or our operating flexibility;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prevailing economic and market conditions.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the actual amount of cash we have available for distribution to our common unitholders depends on other factors, some of which are beyond our control, including: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level and timing of capital expenditures we make;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level of our operating, maintenance and general and administrative expenses, including reimbursements of expenses incurred on our behalf by our General Partner;</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cost of acquisitions, if any;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sell assets, if any, and the price that we may receive for such assets;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debt service requirements and other liabilities;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fluctuations in our working capital needs;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borrow funds and access the debt and equity capital markets;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restrictions contained in our debt agreements;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amount of cash reserves established by our General Partner;</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not receiving anticipated shortfall payments from our customers;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adverse legal judgments, fines and settlements;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distributions paid on our Series A Preferred Units, if any, or on the preferred stock of our subsidiaries;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other business risks affecting our cash levels.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depend on a relatively small number of customers for a significant portion of our revenues. For example, Caerus, a customer on our Piceance segment accounts for over 10% of our aggregated revenue. The loss of, or material nonpayment or nonperformance by, or the curtailment of production by, any one or more of our customers could materially adversely affect our revenues, cash flows and ability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and cash flows and our ability to make cash distributions to our unitholders. We expect our exposure to concentrated risk of nonpayment or nonperformance to continue as long as we remain substantially dependent on a relatively small number of customers for a significant portion of our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any of our customers curtail or reduce production in our areas of operation, it could reduce throughput on our systems and, therefore, materially adversely affect our revenues, cash flows and ability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An extended low commodity price environment negatively impacts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ability to make cash distributions to our unitholders. In addition, there can be no assurance that our contract counterparties will perform or adhere to existing or future contractual arrangements, including making any required shortfall payments or other payments due under their respective contracts.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Adverse developments in our areas of operation could materially adversely impact our financial condition, results of operations, cash flows and ability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operations are focused on gathering, treating, transporting and processing services in the following unconventional resource basins, primarily shale formations: the Utica Shale, the Williston Basin, the DJ Basin, the Permian Basin, the Piceance Basin, the Barnett Shale and the Marcellus Shale. Due to our limited industry diversity, adverse developments in the natural gas and crude oil industries or in our existing areas of operation could have a significantly greater impact on our financial condition, results of operations and cash flows than if we did not have such limited diversity.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Significant prolonged weakness in natural gas, NGL and crude oil prices could reduce throughput on our systems and materially adversely affect our revenues and cash available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Lower natural gas, NGL and crude oil prices could negatively impact exploration, development and production of natural gas and crude oil, thereby resulting in reduced throughput on our gathering systems. Additionally, certain of our customers in each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 our areas of operations have reduced, and others could reduce, drilling activity and capital expenditure budgets. If natural gas, NGL and/or crude oil prices decrease, it could cause sustained reductions in exploration or production activity in our areas of operation and result in a further reduction in throughput on our systems, which could have a material adverse effect on our business, financial condition, results of operations and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and cost of capital;</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prevailing and projected hydrocarbon commodity prices;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demand for crude oil, natural gas and other hydrocarbon products, including NGLs;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levels of reserves;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geological considerations;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environmental or other governmental regulations, including the availability of drilling permits and the regulation of hydraulic fracturing;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of drilling rigs and other costs of production and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worldwide economic and geopolitical conditions;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global or national health concerns, including the outbreak of pandemic or contagious disease, such as COVID-19, which may reduce demand for crude oil, natural gas and NGLs because of reduced global or national economic activity;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ability to make cash distributions to our unitholders.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weather conditions and seasonal trends;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levels of domestic production and consumer demand;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of imported liquefied natural gas (“LNG”);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ability to export LNG;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availability of transportation and storage systems with adequate capacity;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volatility and uncertainty of regional pricing differentials and premiums;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price and availability of alternative fuels, including alternative fuels that benefit from government subsidies;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effect of energy conservation measures;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nature and extent of governmental regulation and taxation;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anticipated future prices of crude oil, natural gas and other hydrocarbon products, including NGLs.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transportation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Many of our costs are fixed and do not vary with our throughput. These costs will not decline ratably or at all should we experience a reduction in throughput, which could result in a decline in our revenues and cash flows and materially adversely affect our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Any significant decrease in the demand for natural gas and crude oil could reduce the volumes of natural gas and crude oil that we gather and process, which could adversely affect our business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volumes of natural gas and crude oil that we gather and process depend on the supply and demand for natural gas and crude oil and other hydrocarbon products in the areas served by our assets. Natural gas and crude oil compete with other forms of energy available to users, including electricity, coal, other fuels and alternative energy sources. Increased demand for such forms of energy at the expense of natural gas and crude oil could lead to a reduction in demand for our services. Any such reduction could result in a decline in our revenues and cash flows and materially adversely affect our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our customers do not increase the volumes they provide to our gathering systems, our ability to make cash distributions to our unitholders may be materially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attracting new customers and/or new gathering opportunities with existing customers, our ability to make cash distributions to our unitholders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Certain of our gathering and processing agreements contain provisions that can reduce the cash flow stability that the agreements were designed to achieve.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 and our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not obtained independent evaluations of all of the reserves connected to our gathering systems; therefore, in the future, customer volumes on our systems could be less than we anticipate.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may not have accurate estimates of total reserves dedicated to our systems or the anticipated life of such reserves. If the total reserves or estimated life of the reserves connected to our gathering systems are less than we anticipate and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unable to secure additional volumes, it could have a material adverse effect on our business, results of operations, financial condition and our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industry is highly competitive, and increased competitive pressure could materially adversely affect our business and operating results.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financial condition and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not be able to renew or replace expiring contracts at favorable rates or on a long-term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transportation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level of existing and new competition to provide gathering and/or processing services in our areas of operation;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macroeconomic factors affecting gathering, treating, transporting and processing economics for our current and potential customers;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balance of supply and demand, on a short-term, seasonal and long-term basis, in our markets;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extent to which the customers in our areas of operation are willing to contract on a long-term basis;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effects of federal, state or local regulations on the contracting practices of 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the extent we are unable to renew our existing contracts on terms that are favorable to us or successfully manage our overall contract mix over time, our revenues and cash flows could decline and our ability to make cash distributions to our unitholders could be materially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third-party pipelines or other midstream facilities interconnected to our gathering systems become partially or fully unavailable, our revenues and cash flows and our ability to make cash distributions to our unitholders could be materially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ability to make cash distributions to our unitholders could be materially adversely affected.</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Extended periods of below freezing weather and unseasonably wet weather conditions, especially in North Dakota, Ohio and West Virginia,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transporting and processing systems, including interruptions in service. These types of interruptions could negatively impact our ability to meet our contractual obligations to our customers and thereby give rise to certain termination rights and/or the release of dedicated acreage. Any resulting terminations or releases could materially adversely affect our business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mountainous areas such as our Utica Shale and Marcellus Shale operations,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Interruptions in operations at any of our facilities may adversely affect our operations and cash flows available for distribution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operations depend upon the infrastructure that we have developed and constructed. Any significant interruption at any of our gathering, treating, transporting or processing facilities, or in our ability to provide gathering, treating, transporting or processing services, could adversely affect our operations and cash flows available for distribution to our unitholders. Operations at our facilities could be partially or completely shut down, temporarily or permanently, as the result of circumstances not within our control, such as: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unscheduled turnarounds or catastrophic events at our physical plants or pipeline facilities;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restrictions imposed by governmental authorities or court proceedings;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labor difficulties that result in a work stoppage or slowdown;</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disruption in the supply of resources necessary to operate our midstream facilities;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damage to our facilities resulting from production volumes that do not comply with applicable specifications;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inadequate transportation and/or market access to support production volumes, including lack of pipeline, rail terminals, produced water disposal facilities and/or third-party processing capacity.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significant interruption at any of our gathering, treating, transporting or processing facilities, or in our ability to provide gathering, treating, transporting or processing services, could adversely affect our operations and cash flows available for distribution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all of the risks and hazards inherent in the operation of gathering, treating, transporting and processing systems, including: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damage to pipelines, processing plants, compression assets, related equipment and surrounding properties caused by tornadoes, floods, fires and other natural disasters and acts of terrorism;</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inadvertent damage from construction, vehicles, farm and utility equipment;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leaks or losses resulting from the malfunction of equipment or facilities;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ruptures, fires and explosions; and</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other hazards that could also result in personal injury and loss of life, pollution and suspension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risks could result in substantial losses due to personal injury and/or loss of life, severe damage to and destruction of property and equipment and pollution or other environmental damage. The location of certain of our systems in or near populated areas, including residential areas, commercial business centers and industrial sites, could increase the damages resulting from such events.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events may also result in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 and our ability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some of which are beyond our control,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fail to successfully integrate gathering system acquisitions into our existing business in a timely manner, which could have a material adverse effect on our business, results of operations, financial condition and ability to make cash distributions to our unitholders, or fail to realize all of the expected benefits of the acquisitions, which could negatively impact our future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Integration of future gathering system acquisitions could be a complex, time-consuming and costly process, particularly if the acquired assets significantly increase our size and/or (i) diversify the geographic areas in which we operate or (ii) the service offerings that we provide.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failure to successfully integrate the acquired assets with our existing business in a timely manner may have a material adverse effect on our business, results of operations, financial condition and ability to make cash distributions to our unitholders. If any of the risks described above or in the immediately preceding risk factor or unanticipated liabilities or costs were to materialize with respect to future acquisitions or if the acquired assets were to perform at levels below the forecasts we used to evaluate them, then the anticipated benefits from the acquisition may not be fully realized, if at all, and our future results of operations and ability to make cash distributions to unitholders could be negatively impacted.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construction of new assets may not result in revenue increases and will be subject to regulatory, environmental, political, legal and economic risks, which could materially adversely affect our results of operations and financial condition.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construction of new assets, including for example, the Double E Pipeline, which was recently placed into service, involve numerous regulatory, environmental, political, legal and economic uncertainties that are beyond our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Such construction projects may also require the expenditure of significant amounts of capital, and financing, traditional or otherwise,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construction of additions or modifications to our existing gathering, treating, transporting and processing assets and the construction of new midstream assets may require us to obtain federal, state and local regulatory environmental or other authorizations. The approval process for gathering, treating, transporting and processing activities has become increasingly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challenging, due in part to state and local concerns related to unregulated exploration and production and gathering, treating, transporting and processing activities in new production areas. Such authorization may not be granted or, if granted, such authorization may include burdensome or expensive conditions. As a result, we may be unable to obtain such authorizations and may, therefore, be unable to connect new volumes to our systems or capitalize on other attractive expansion opportunities. A future government shutdown could delay the receipt of any federal regulatory approvals. Additionally, it may become more expensive for us to obtain authorizations or to renew existing authorizations. If the cost of renewing or obtaining new authorizations increases materially, our cash flows could be materially adversely affected.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do not own all of the land on which our pipelines and facilities are located, which could result in disruptions to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facilities. Our loss of these rights, through our inability to renew right-of-way contracts or otherwise, could have a material adverse effect on our business, results of operations, financial condition and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ability to operate our business effectively could be impaired if we fail to attract and retain key personnel, and a shortage of skilled labor in the midstream energy industry could reduce employee productivity and increase costs, which could have a material adverse effect on our business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as a result of the COVID-19 pandemic, we have experienced difficulty in recruiting and hiring skilled labor throughout our organization. The operation of gathering, treating, transporting and processing systems requires skilled laborers in multiple disciplines such as equipment operators, mechanics and engineers, among others. If we continue to experience shortages of skilled labor in the future, our labor and overall productivity or costs could be materially adversely affected. If our labor prices increase or if we experience materially increased health and benefit costs with respect to our General Partner's employees, our business and results of operations and our ability to make cash distributions to our unitholders could be materially adversely affected.</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Our Finances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Limited access to and/or availability of the debt and equity capital markets could impair our ability to grow or cause us to be unable to meet future capital requirements.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the ABL Facility or the Permian Transmission Credit Facility.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use cash from operations, incur borrowings and/or sell additional common units or other securities to fund our future expansion capital expenditures. Using cash from operations to fund expansion capital expenditures will directly reduce any cash available for distribution to unitholders, if any. Our ability to obtain financing or to access the capital markets for future debt or equity offerings may be limited by (i) our financial condition at the time of any such financing or offering, (ii) covenants in our debt agreements, (iii) restrictions imposed by our Series A Preferred Units, (iv) general economic conditions and contingencies, (v) increasing disfavor among many investors towards investments in fossil fuel companies and (vi) general weakness in the debt and equity capital markets and other uncertainties that are beyond our control. In addition, lenders are facing increasing pressure to curtail their lending activities to companies in the oil and natural gas industry. Furthermore, market demand for equity issued by master limited partnerships has been significantly lower in recent years than it has been historically, which may make it more challenging for us to finance our expansion capital expenditures and acquisition capital expenditures with the issuance of additional equity.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not made a distribution on our common units or Series A Preferred Units since we announced suspension of those distributions on May 3, 2020, and these suspensions of distributions may further reduce demand for our common units or Series A Preferred Units. Further, we may not pay distributions on the common units or Series A Preferred Units in the foreseeable future, and there are restrictions on our ability to pay distributions under our outstanding indebtedness that restrict our ability to pay cash distributions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distributions to our common unitholders. In addition, incurring additional debt may significantly increase our interest expense and financial leverage, and issuing additional units representing limited partner interests may result in significant common unitholder dilution and increase the aggregate amount of cash required to pay distributions to our unitholders, which could materially decrease our ability to pay such distributions.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had $1.4 billion of indebtedness outstanding and the unused portion of the ABL Facility totaled $109.1 million after giving effect to the issuance of $23.9 million in outstanding but undrawn irrevocable standby letters of credit. See Note 8 - Debt of the notes to our consolidated financial statements included in Item 8 of this Annual Report for further discussion of our debt obligations. Our existing and future debt services obligations could have significant consequences, including among other things: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limiting our ability to obtain additional financing, if necessary, for working capital, capital expenditures, acquisitions or other purposes and/or obtaining such financing on favorable terms;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reducing our funds available for operations, future business opportunities and cash distributions to unitholders by that portion of our cash flow required to make interest payments on our debt;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increasing our vulnerability to competitive pressures or a downturn in our business or the economy generally;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limiting our flexibility in responding to changing business and economic conditions.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indebtedness and may be forced to take other actions to satisfy our obligations under our indebtedness.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obligations, including the ABL Facility, the 2026 Secured Notes and the 2025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Indenture and the ABL Facility place certain restrictions on our ability to dispose of assets and our use of the proceeds from such dispositions. We may not be able to consummate those dispositions on terms acceptable to it, if at all, and the proceeds of any such dispositions may not be adequate to meet any debt service obligations then due.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other debt agreements), the lenders under the ABL Facility could terminate their commitments to extend credit, and the lenders could foreclose against our assets securing their borrowings and we could be forced into bankruptcy or liquidation. If the amounts outstanding under our debt agreements were to be accelerated, we cannot assure you that our assets would be sufficient to repay in full the amounts owed to our creditors.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Restrictions in the Permian Transmission Credit Facility, the indenture governing the 2025 Senior Notes, the ABL Facility and the 2026 Secured Notes Indenture could materially adversely affect our business, financial condition, results of operations, ability to satisfy these obligations to make cash distributions to unitholders and value of our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earnings and cash flows generated by our operations to meet our debt service obligations and to make cash distributions to our unitholders, if any. The operating and financial restrictions and covenants in the Permian Transmission Credit Facility, the indenture governing the 2025 Senior Notes, the ABL Facility, the 2026 Secured Notes Indenture and any future financing agreements could restrict our ability to finance future operations or capital needs or to expand or pursue our business activities, which may, in turn, limit our ability to satisfy our obligations and make cash distributions to our unitholders. For example, the ABL Facility, the Permian Transmission Credit Facility, the 2026 Secured Notes Indenture and the indenture governing the 2025 Senior Notes, taken together, restrict our ability to, among other things: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incur or guarantee certain additional debt;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certain cash distributions on or redeem or repurchase certain units;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payments on certain other indebtedness;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certain investments and acquisitions;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make certain capital expenditures;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incur certain liens or other encumbrances or permit them to exist;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enter into certain types of transactions with affiliates;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enter into sale and lease-back transactions and certain operating leases;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merge or consolidate with another company or otherwise engage in a change of control transaction; and</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transfer, sell or otherwise dispose of certain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provisions of the Permian Transmission Credit Facility, the indenture governing the 2025 Senior Notes, the ABL Facility and the 2026 Secured Notes Indenture may affect our ability to obtain future financing and pursue attractive business opportunities as well as affect our flexibility in planning for, and reacting to, changes in business conditions. In addition, a failure to comply with the provisions of the Permian Transmission Credit Facility, the indenture governing the 2025 Senior Notes, the ABL Facility and the 2026 Secured Notes Indenture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ABL Facility could proceed against the collateral granted to them to secure such debt. If the payment of the debt is accelerated, our assets may be insufficient to repay such debt in full, and our unitholders could experience a partial or total loss of their investment. The ABL Facility also has cross default provisions that apply to any other indebtedness we may have and the indenture governing the 2025 Senior Notes and the 2026 Secured Notes Indenture have cross default provisions that apply to certain other indebtedness. Any of these restrictions in the ABL Facility, the Permian Transmission Credit Facility, the 2026 Secured Notes Indenture and the indenture governing the 2025 Senior Notes could materially adversely affect our business, financial condition, cash flows and results of operations.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An increase in inflation could have adverse effects on our results of operation.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annual rate of inflation in the United States hit 7.5% in January 2022, the highest in more than three decades, as measured by the Consumer Price Index. We expect that inflation in 2022 will increase our labor and other operating costs and the overall cost of capital projects we undertake. An increase in inflation rates could negatively affect the Partnership’s profitability and cash flows, due to higher wages, higher operating costs, higher financing costs, and/or higher supplier prices. The Partnership may be unable to pass along such higher costs to its customers. In addition, inflation may adversely affect customers’ financing costs, cash flows, and profitability, which could adversely impact their operations and the Partnership’s ability to offer credit and collect receivables.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An increase in interest rates will cause our debt service obligations to increase.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at a rate equal to, at our option, prime plus a margin or LIBOR plus margin. The interest rate is subject to adjustment based on fluctuations in LIBOR (or successor rates thereto) or the prime rate,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the Financial Conduct Authority in the United Kingdom has phased out LIBOR as a benchmark for one-week and two-month tenors and announced that it will cease to publish all other LIBOR tenors on June 30, 2023. The ABL Facility includes a mechanism to automatically amend the ABL Facility to use an alternate rate of interest based on the secured overnight financing rate upon the occurrence of certain events related to the phase-out of LIBOR. Even where we have entered into interest rate swaps or other derivative instruments for purposes of managing our interest rate exposure, our hedging strategies may not be effective as a result of the replacement or phasing out of LIBOR, and we may incur losses as a result. In addition, the overall financial markets may be disrupted as a result of the phase-out or replacement of LIBOR. The potential increase in our interest expense as a result of the phase-out of LIBOR and uncertainty as to the nature of such potential phase-out and alternative reference rates or disruption in the financial market could have an adverse effect on our financial condition, results of operations and cash flows.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 downgrade of our credit rating could impact our liquidity, access to capital and our costs of doing business, and independent third parties determine our credit ratings outside of our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Moody’s, S&amp;P and Fitch assign ratings to our senior unsecured credit from time to time. A downgrade of our credit rating could increase our future cost of borrowing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incur losses due to impairment in the carrying value of our long-lived assets or equity method investments.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recorded long-lived asset impairments of $10.2 million in 2021.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 and income-based approaches. We evaluate our equity method investment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 portion of our revenues are directly exposed to changes in crude oil, natural gas and NGL prices, and our exposure may increase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derived 22% of our revenues from (i) the sale of physical natural gas and/or NGLs purchased under percentage-of-proceeds or other processing arrangements with certain of our customers in the Rockies, Permian, and Piceance segments, (ii) the sale of natural gas we retain from certain Barnett customers, (iii) the sale of condensate we retain from our gathering services in the Piceance segment and (iv) additional gathering fees that are tied to performance of certain commodity price indexes, which are then added to the fixed gathering rates..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Regulatory and Environmental Policy Risks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described in Item 3. Legal Proceedings, we settled an incident involving a produced water disposal pipeline owned by Meadowlark Midstream that resulted in a discharge of materials into the environment which was investigated by federal and state agencies. This settlement resulted in losses amounting to $36.3 million and will be paid over six years and requires compliance with certain conditions and terms and conditions which may impact our results of operations or cash flows.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made by the Partnership for the payment of litigation related costs, including legal defense costs and settlement payments, if any, reduce our cash flows available for debt service and distributions to our unitholders, if any. Any such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expenditures, if incurred, could be material. See Item 3. Legal Proceedings for additional disclosure by the Partnership regarding its ongoing litigation and claims.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spacing w:lineRule="auto" w:line="288" w:before="120" w:after="283"/>
        <w:rPr/>
      </w:pPr>
      <w:r>
        <w:rPr>
          <w:rFonts w:ascii="Times New Roman;sans-serif" w:hAnsi="Times New Roman;sans-serif"/>
          <w:b w:val="false"/>
          <w:color w:val="000000"/>
          <w:sz w:val="20"/>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For example, PHMSA has issued new proposed and final rules concerning pipeline safety in recent years. In November 2021, PHMSA issued a final rule that extended pipeline safety requirements to onshore gas gathering pipelines. The rule requires all onshore gas gathering pipeline operators to comply with PHMSA’s incident and annual reporting requirements.</w:t>
      </w:r>
      <w:r>
        <w:rPr>
          <w:color w:val="000000"/>
        </w:rPr>
        <w:t xml:space="preserve"> </w:t>
      </w:r>
      <w:r>
        <w:rPr>
          <w:rFonts w:ascii="Times New Roman;sans-serif" w:hAnsi="Times New Roman;sans-serif"/>
          <w:b w:val="false"/>
          <w:color w:val="000000"/>
          <w:sz w:val="20"/>
        </w:rPr>
        <w:t>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becomes effective in May 2022 and operators must comply with the applicable safety requirements by November 2022. To the extent these or other new proposed or final rules create additional requirements for our pipelines, they could have a material adverse effect on our operations, operating and maintenance expenses and revenues. For additional information on the potential risks associated with PHMSA requirements, see the “We may incur greater than anticipated costs and liabilities as a result of pipeline safety requirements” section of Item 1A. Risk Factors.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Colorado Senate Bill 19-181, signed into law in April 2019, changed the mandate of the COGCC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As part of its implementation of this new law, in November 2020 the COGCC adopted new regulations that increase oil and gas setbacks to a minimum of 2,000 feet from schools and childcare facilities, prohibit routine venting and flaring, increase wildlife protections, and alter certain aspects of the permitting process.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Increased regulation of hydraulic fracturing could result in reductions or delays in customer production, which could materially adversely impact our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increasingly common practice that is used to stimulate production of natural gas and/or crude oil from dense subsurface rock formations, and is primarily regulated by state agencies. However, Congress has in the past, and may in the future consider legislation to regulate hydraulic fracturing by federal agencies. Many states have already adopted laws and/or regulations that require disclosure of the chemicals used in hydraulic fracturing.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has yet to garner significant support.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EPA has also moved forward with various regulatory actions, including a proposal to issue new regulations under the New Source Performance Standards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“Environmental Matters—Air Emissions” section of Item 1. Business of this Annual Report.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Litigation is currently ongoing.</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 several federal governmental agencies have conducted reviews and studies on the environmental aspects of hydraulic fracturing, including the EPA. The results of such reviews or studies could spur initiatives to further regulate hydraulic fracturing.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recently have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pStyle w:val="TextBody"/>
        <w:spacing w:lineRule="auto" w:line="288" w:before="120" w:after="283"/>
        <w:rPr/>
      </w:pPr>
      <w:r>
        <w:rPr>
          <w:rFonts w:ascii="Times New Roman;sans-serif" w:hAnsi="Times New Roman;sans-serif"/>
          <w:b w:val="false"/>
          <w:color w:val="000000"/>
          <w:sz w:val="20"/>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on June 15, 2021, a judge in the U.S. District Court for the Western District of Louisiana issued a nationwide temporary injunction blocking the suspension. The Department of the Interior appealed the U.S. District Court’s ruling, but resumed oil and gas leasing pending resolution of the appeal.</w:t>
      </w:r>
      <w:r>
        <w:rPr>
          <w:color w:val="000000"/>
        </w:rPr>
        <w:t xml:space="preserve"> </w:t>
      </w:r>
      <w:r>
        <w:rPr>
          <w:rFonts w:ascii="Times New Roman;sans-serif" w:hAnsi="Times New Roman;sans-serif"/>
          <w:b w:val="false"/>
          <w:color w:val="000000"/>
          <w:sz w:val="20"/>
        </w:rPr>
        <w:t>In November 2021, the Department of the Interior completed its review and issued a report on the federal oil and gas leasing program. The Department of the Interior’s report recommends several changes to federal leasing practices, including changes to royalty payments, bidding, and bonding requirements.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 </w:t>
      </w:r>
    </w:p>
    <w:p>
      <w:pPr>
        <w:pStyle w:val="TextBody"/>
        <w:spacing w:lineRule="auto" w:line="288" w:before="120" w:after="283"/>
        <w:rPr/>
      </w:pPr>
      <w:r>
        <w:rPr>
          <w:rFonts w:ascii="Times New Roman;sans-serif" w:hAnsi="Times New Roman;sans-serif"/>
          <w:b w:val="false"/>
          <w:color w:val="000000"/>
          <w:sz w:val="20"/>
        </w:rPr>
        <w:t>Additionally, the Double E Project, which provides interstate natural gas transmission service from southeastern New Mexico to the Waha hub in Texas, is subject to FERC jurisdiction under the NGA with respect to post-construction remediation activities, operations, and rates and terms and conditions of service. Pursuant to the NGA, Double E Pipeline’s existing interstate natural gas transportation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w:t>
      </w:r>
      <w:r>
        <w:rPr>
          <w:color w:val="000000"/>
        </w:rPr>
        <w:t xml:space="preserve"> </w:t>
      </w:r>
      <w:r>
        <w:rPr>
          <w:rFonts w:ascii="Times New Roman;sans-serif" w:hAnsi="Times New Roman;sans-serif"/>
          <w:b w:val="false"/>
          <w:color w:val="000000"/>
          <w:sz w:val="20"/>
        </w:rPr>
        <w:t>We cannot guarantee that any new or existing tariff rate for service on our FERC-regulated pipelines would not be rejected or modified by the FERC, or subjected to refunds. Any successful challenge by a regulator or shipper in any of these matters could have a material adverse effect on our business,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long-term fixed priced natural gas and crude oil transportation contracts that cannot be adjusted even if our costs increase. As a result, our costs could exceed our revenues. In 2021, we entered into negotiated rate agreements with an average term of 10 years from the in-service date of the pipeline, which occurred on November 18, 2021 and with total MDTQ’s that increases from 585,000 Dth/d during the first year of the agreement to 1,000,000 Dth/d in the fourth year, which equates to approximately 74% of its certificated capacity of 1,350,000 Dth/d, these contracts are not subject to adjustment, even if our cost to perform such services exceeds the revenues received from such contracts, and, as a result, our costs could exceed our revenues received under such contracts. It is possible that costs to perform services under our “negotiated or discount rate” contracts will exceed the negotiated or discounted rates. It is also possible with respect to discounted rates that if our filed “recourse rates” should ever be reduced below applicable discounted rates, we would only be allowed by FERC to charge the lower recourse rates, since FERC policy does not allow discount rates to be charged to the extent that they exceed applicable recourse rates. If these events were to occur, it could decrease the cash flow realized by our assets.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FERC policy, a regulated service provider and a customer may mutually agree to sign a contract for service at a “negotiated rate,” which is generally fixed between the natural gas pipeline and the shipper for the contract term and does not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necessarily vary with changes in the level of cost-based “recourse rates,” provided that the affected customer is willing to agree to such rates and that the FERC has accepted the negotiated rate agreement. These “negotiated or discount rate” contracts are not generally subject to adjustment for increased costs which could be caused by inflation or other factors relating to the specific facilities being used to perform the services. Any shortfall of revenue, representing the difference between “recourse rates” (if higher) and negotiated or discounted rates, under current FERC policy, may be recoverable from other shippers in certain circumstances. For example, the FERC may recognize this shortfall in the determination of prospective rates in a future rate case. However, if the FERC were to disallow the recovery of such costs from other customers, it could decrease the cash flow realized by our assets.</w:t>
      </w:r>
    </w:p>
    <w:p>
      <w:pPr>
        <w:pStyle w:val="TextBody"/>
        <w:spacing w:lineRule="auto" w:line="288" w:before="120" w:after="283"/>
        <w:rPr/>
      </w:pPr>
      <w:r>
        <w:rPr>
          <w:rFonts w:ascii="Times New Roman;sans-serif" w:hAnsi="Times New Roman;sans-serif"/>
          <w:b w:val="false"/>
          <w:color w:val="000000"/>
          <w:sz w:val="20"/>
        </w:rPr>
        <w:t>We are also generally subject to the anti-market manipulation provisions in the NGA, as amended by the Energy Policy Act of 2005, and to FERC’s regulations thereunder, and also must comply with the other applicable provisions of the NGA and NGPA and FERC’s rules, regulations, and orders concerning the Double E Pipeline’s interstate natural gas pipeline business, including those that require us to provide firm and interruptible transportation service on an open access basis that is not unduly discriminatory or preferential.</w:t>
      </w:r>
      <w:r>
        <w:rPr>
          <w:color w:val="000000"/>
        </w:rPr>
        <w:t xml:space="preserve"> </w:t>
      </w:r>
      <w:r>
        <w:rPr>
          <w:rFonts w:ascii="Times New Roman;sans-serif" w:hAnsi="Times New Roman;sans-serif"/>
          <w:b w:val="false"/>
          <w:color w:val="000000"/>
          <w:sz w:val="20"/>
        </w:rPr>
        <w:t>Violations of the NGA or NGPA, or the rules, regulations, and orders issued by FERC thereunder could result in the imposition of administrative and criminal remedies, including without limitation, revocation of certain authorities, disgorgement of ill-gotten gains, and civil penalties of up to $1,388,496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$1,323,791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$1,303,559 per violation, subject to future adjustment for inflation, or triple the monetary gain to the violator for each violation of the anti-market manipulation provisions of the CEA.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state and local regulation regarding the construction and operation of our gathering, treating, transporting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transporting and processing activities, which allows producers and shippers to file complaints with state regulators in an effort to resolve access issues, rate grievances and other matters. Other state and municipal regulations do not directly apply to our business, but may nonetheless affect the availability of natural gas and crude oil for gathering, treating, transporting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Recent actions by the FERC may affect rates on Epping Pipeline, Double E Pipeline and other future FERC-regulated pipelines.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15, 2018, FERC announced a revised policy prohibiting FERC-jurisdictional natural gas and liquids pipelines owned by master limited partnerships from including an allowance for income taxes in the cost of service used to calculate tariff rates. Most of our pipelines are not subject to FERC regulation and so will not be affected by the revised policy statement. However, rates for interstate movements of crude oil on our Epping Pipeline in North Dakota and any future FERC-regulated pipelines may be affected by the application of the revised policy statement in subsequent FERC proceedings.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FERC has not required regulated interstate oil pipelines to decrease their rates on an industry-wide basis to implement the new policy. However, FERC stated that the effects of the revised policy statement must be incorporated in annual FERC financial reports made by regulated interstate oil pipelines. These reports, which also reflected the impact of the corporate income tax reduction enacted as part of the Tax Reform Legislation, were considered by FERC in its five-year review and determination of the index rate adjustment, which resulted in the December 17, 2020 order adopting a new annual index adjustment for the five-year period starting July 1, 2021. FERC ultimately removed the effect of the income tax allowance policy change from its index calculation, although the December 17, 2020 order is subject to rehearing and possible judicial review. The impact of these future proceedings on Epping Pipeline and any future FERC-regulated pipelines is uncertain at this time.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Until FERC sets the next index rate adjustment, Epping Pipeline and any future FERC-regulated pipelines may face an increased risk of shipper complaints seeking FERC review of its rates. FERC can also initiate review of rates on its own initiative. We could also propose new cost-of-service rates or changes to our existing rates that would be subject to review by FERC under its new policy. No such proceedings have occurred at this time, however, and the potential outcome of any such proceedings, should any materialize, is uncertain. As a result of any such proceedings, Epping Pipeline and any future FERC-regulated pipelines may be required to modify their rates, which could affect the revenues we generate with our Epping Pipeline and any future FERC-regulated pipelines. At this time, we do not expect any such proceedings would have a material adverse effect, but we intend to monitor FERC developments and provide updated disclosure, as necessary.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are subject to stringent environmental laws and regulations that may expose us to significant costs and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CERCLA, the CWA, the OPA, the RCRA, the Endangered Species Act and the Toxic Substances Control 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For additional information on specific laws and regulations, see the “Environmental Matters” section of Item 1. Business. 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new presidential administration and Democratic control of Congress resulting from the 2020 elections may result in increased restrictions on oil and gas production activities, which could materially adversely affect our industry and our financial condition and results of operations.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incur greater than anticipated costs and liabilities as a result of pipeline safety requirements.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system is located. While the majority of our pipelines have historically met the DOT definition of gathering lines and were thus exempt from PHMSA's integrity management requirements, we also operate a limited number of pipelines that are subject to the integrity management requirements. The regulations require operators, including us, to: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perform ongoing assessments of pipeline integrity;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identify and characterize applicable threats to pipeline segments that could impact a high consequence area;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maintain processes for data collection, integration and analysis;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repair and remediate pipelines as necessary;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adopt and maintain procedures, standards and training programs for control room operations;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implement preventive and mitigating 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PHMSA has taken recent action to regulate gathering systems, which includes integrity management requirements. In November 2021, PHMSA issued a final rule that all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becomes effective in May 2022 and operators must comply with the applicable safety requirements by November 2022.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PHMSA regulations relating to pipeline safety, see the “Regulation of the Natural Gas and Crude Oil Industries—Safety and Maintenance” section of Item 1.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PHMSA has also imposed additional requirements on onshore gas transmission systems and hazardous liquids pipelines in recent years. In July 2018, the PHMSA issued an advance notice of proposed rulemaking seeking comment on the class location requirements for natural gas transmission pipelines, and particularly the actions operators must take when class locations change due to population growth or building construction near the pipeline. The associated notice of proposed rulemaking, issued October 14, 2020, proposes to amend the requirements for gas transmission pipeline segments that experience a change in class location by offering an alternative set of requirements operators could use, based on implementing integrity management principles and pipe eligibility criteria, to manage certain pipeline segments where the class location has changed from a Class 1 location to a Class 3 location. In October 2019, the PHMSA issued three new final rules. One rule, which became effective in December 2019, established procedures to implement the expanded emergency order enforcement authority set forth in an October 2016 interim final rule. Among other things, this rule allows the PHMSA to issue an emergency order without advance notice or opportunity for a hearing. The other two rules, which became effective in July 2020, imposed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Further,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 While we believe that we are in compliance with existing safety laws and regulations, increased penalties for safety violations and potential regulatory changes could have a material adverse effect on our operations, operating and maintenance expenses and revenues.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Climate change legislation, regulatory initiatives and litigation could result in increased operating costs and reduced demand for the services we provide.</w:t>
      </w:r>
    </w:p>
    <w:p>
      <w:pPr>
        <w:pStyle w:val="TextBody"/>
        <w:spacing w:lineRule="auto" w:line="288" w:before="120" w:after="283"/>
        <w:rPr/>
      </w:pPr>
      <w:r>
        <w:rPr>
          <w:rFonts w:ascii="Times New Roman;sans-serif" w:hAnsi="Times New Roman;sans-serif"/>
          <w:b w:val="false"/>
          <w:color w:val="000000"/>
          <w:sz w:val="20"/>
        </w:rPr>
        <w:t>In recent years, 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revisions to the NSPS found in 40 CFR 60 subpart OOOO (and OOOOa) include emission reduction requirements. In November 2021, the EPA issued a new proposed rule targeting methane emissions from new and existing oil and gas sources.</w:t>
      </w:r>
      <w:r>
        <w:rPr>
          <w:color w:val="000000"/>
        </w:rPr>
        <w:t xml:space="preserve"> </w:t>
      </w:r>
      <w:r>
        <w:rPr>
          <w:rFonts w:ascii="Times New Roman;sans-serif" w:hAnsi="Times New Roman;sans-serif"/>
          <w:b w:val="false"/>
          <w:color w:val="000000"/>
          <w:sz w:val="20"/>
        </w:rPr>
        <w:t xml:space="preserve">The proposed rule would: (1) update NSPS OOOOa; (2) adopt a new NSPS OOOOb for sources that commence construction, modification or reconstruction after the date the proposed rule is published in the Federal Register; and (3) adopt a new NSPS OOOOc to establish emissions guidelines, which will inform state plans to establish standards for existing sources.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May 2021, as part of a Governor-directed statewide initiative to reduce GHG emissions by at least 45% by 2030, the New Mexico Environment Department (“NMED”) proposed new rules that would establish emissions standards for VOCs and nitrogen oxides for oil and gas production and processing sources located in certain areas of the state with high ozone concentrations. NMED conducted a public hearing on the proposed rules in September 2021 and the rules are expected to be finalized and issued in 2022. Although we cannot currently determine the effect of these proposed regulations and other regulatory initiatives to implement the Governor’s directive to reduce GHG emissions, they could, if implemented, be material to the business, reputation, financial condition or results of operations of our Summit Permian system. Similarly, in April 2021, the New Mexico Department of Energy, Minerals, and Natural Resources (“EMNRD”) finalized new rules concerning venting and flaring of natural gas. EMNRD’s final rule may impose new or increased costs and obligations on our customers, which could reduce demand for our services and negatively impact our revenues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PSD construction and Title V operating permit reviews for certain large stationary sources of GHG emissions. For additional information on EPA regulations adopted under the CAA, see the “Environmental Matters—Climate Change” section of Item 1. Business. 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As part of rejoining the Paris Agreement, President Biden announced that the United States would commit to a 50 to 52 percent reduction from 2005 levels of GHG emissions by 2030, and set the goal of reaching net-zero GHG emissions by 2050. In addition, shortly after taking office in January 2021, President Biden issued a series of executive orders designed to address climate change. New legislation to regulate GHG emissions has also been periodically introduced in the United States Congress, but none have passed. Reentry into the Paris Agreement, new legislation, or President Biden’s executive orders may result in the development of additional regulations or changes to existing regulations, which could have a material adverse effect on our business and that of our customers.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it is not possible at this time to accurately estimate how potential future laws or regulations addressing GHG emissions would impact our business, either directly or indirectly, any future federal or state laws or implementing regulations that may be adopted to address GHG emissions could require us to incur increased operating costs and could materially adversely affect demand for our services. The potential increase in the costs of our operations resulting from any legislation or regulation to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 Finally, most scientists have concluded that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increasing concentrations of GHGs in the Earth’s atmosphere may produce climate changes that have significant physical effects, such as increased frequency and severity of storms, droughts and floods and other climatic events. We cannot predict with any certainty at this time how these possibilities may affect our operations.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implementation of statutory and regulatory requirements for swap transactions could have an adverse impact on our ability to hedge risks associated with our business and increase the working capital requirements to conduct these activities.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Congress adopted comprehensive financial reform legislation under the Dodd-Frank Act that establishes federal oversight and regulation of the over-the-counter derivatives market and entities, such as us, that participate in that market. This legislation requires the CFTC and the SEC and other regulatory authorities to promulgate certain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While most of the regulations have been promulgated and are already in effect, the rulemaking and implementation process is still ongoing. Moreover, CFTC continues to refine its initial rulemakings under the Dodd-Frank Act. As a result, we cannot yet predict the ultimate effect of the rules and regulations on our business and while most of the regulations have been adopted, any new regulations or modifications to existing regulations could increase the cost of derivative contracts, limit the availability of derivatives to protect against risks that we encounter, reduce our ability to monetize or restructure our existing derivative contracts and increase our exposure to less creditworthy counterparties.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CFTC has proposed federal position limits on certain core futures and equivalent swaps contracts in the major energy and other markets, with exceptions for certain bona fide hedging transactions provided that various conditions are satisfied. If finalized, the position limits rule and its companion rule on aggregation among entities under common ownership or control may have an impact on our ability to hedge our exposure to certain enumerated commodities.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2013, the CFTC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recently adopted mandatory margin requirements on uncleared swaps between swap dealers and certain other counterparties. Although we may qualify for a commercial end-user exception from the mandatory clearing, trade execution and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the Dodd-Frank Act, the CFTC is also directed generally to prevent price manipulation and fraud in the following two markets: (a) physical commodities traded in interstate commerce, including physical energy and other commodities, as well as (b) financial instruments, such as futures, options and swaps. Pursuant to the Dodd-Frank Act,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and material penalties, and sanctions.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currently enter into forward contracts with third parties to buy power and sell natural gas in an attempt to mitigate our exposure to fluctuations in the price of natural gas with respect to those volumes. The CFTC has finalized an interpretation clarifying whether certain forwards with volumetric optionality are regulated as forwards or qualify as options on commodities and therefore swaps. This interpretation may have an impact on our ability to enter into certain forwards or may impose additional requirements with respect to certain transactions.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any transactions involving cross-border swaps more expensive and burdensome. Additionally, the lack of regulatory equivalency across jurisdictions may increase compliance costs and make it more costly to satisfy regulatory obligations.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face opposition to the development, permitting, construction or operation of our pipelines and facilities from various groups.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unitholders and, accordingly,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example, in an April 15, 2020 ruling, amended May 11, 2020, the U.S. District Court for the District of Montana issued an order invalidating the U.S. Army Corps of Engineers (“Corps”) 2017 reissuance of Nationwide Permit 12 (“NWP 12”), the general permit governing discharges of dredged or fill material associated with pipeline and other utility line construction projects, to the extent it was used to authorize construction of new oil and gas pipelines. Environmental groups had alleged that the Corps failed to consult with federal wildlife agencies as required by the Endangered Species Act. The court’s decision vacated NWP 12 until the Corps completes consultation with the applicable federal wildlife agencies. On July 6, 2020, the U.S. Supreme Court granted in part the Corps’ request to stay the U.S. District Court’s decision to allow the use of NWP 12 for utility line activities, including new oil and gas pipelines, pending the outcome of the appeal to the U.S. Court of Appeals for the Ninth Circuit and any subsequent petition for review to the U.S. Supreme Court. Litigation is currently ongoing. In January 2021, the EPA and Corps reissued NWP 12 as a general permit specific to oil and gas pipelines, moving other utility line activities into separate general permits. In May 2021, environmental groups once again filed suit in the U.S. District Court for the District of Montana, seeking vacatur of the reissued NWP 12. Environmental groups allege that the reissuance of NWP 12 violated the Endangered Species Act, National Environmental Policy Act, and Clean Water Act, among other things. Litigation is ongoing. In the meantime, the Corps has announced that it will be reviewing all the nationwide permits for consistency with Administration policies, which could result in additional limitations on the use of nationwide permits. Limitations on the use of NWP 12 may make it more difficult to permit our projects, require consideration of alternative construction or siting, which may impose additional costs and delays, and could cause us to lose potential and current customers and limit our growth and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on July 6, 2020, the U.S. District Court for the District of Columbia issued an order vacating a Corps Mineral Leasing Act easement for the Dakota Access Pipeline in a lawsuit filed by American Indian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while the Corps declined to shut down the pipeline, it did not formally approve the pipeline’s ongoing operation without an easement. The Dakota Access Pipeline continues to operate pending the Corps’ ongoing development of a court-ordered environmental impact statement for the project, which is expected to be finished in 2022. If the Dakota Access Pipeline is forced to shut down, this could have a material adverse effect on our business, financial condition and results of operations associated with the Polar and Divide system, which interconnects with the Dakota Access Pipeline.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 GHGs and climate change, before providing loans or investing in our common units. There is also a risk that financial institutions may adopt policies that have the effect of reducing the funding provided to the fossil fuel sector, such as the adoption of net zero financed emissions targets. Such policies may be hastened by actions under the Biden Administration, including the implementation by the Federal Reserve of any recommendations made by the Network for Greening the Financial System, a consortium of financial regulators focused on addressing climate-related risks in the financial sector.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International laws and regulations regarding privacy and data protection (“data protection laws”). Many of these laws and regulations are subject to change and uncertain interpretation, and could result in claims, increased cost of operations or otherwise harm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Along with our own data and information in the normal course of our business, we and our partners collect and retain significant volumes of certain types of data, some of which are subject to specific laws and regulations. The transfer and use of this data both domestically and across international borders is becoming increasingly complex. The regulatory environment surrounding and the transfer and protection of such data is constantly evolving and can be subject to significant change. New data protection laws at the federal, state, international, national, provincial and local levels, including recent Colorado legislation, the European Union General Data Protection Regulation (“GDPR”) and the California Consumer Privacy Act (“CCPA”), pose increasingly complex compliance challenges and potentially elevate our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Complying with these jurisdictional requirements could increase the costs and complexity of compliance, and violations of applicable data protection laws can result in significant penalties. For example, the GDPR applies to activities regarding personal data that may be conducted by us, directly or indirectly through vendors and subcontractors, from an establishment in the European Union. Failure to comply could result in significant penalties of up to a maximum of 4% of our global turnover that may materially adversely affect our business, reputation, results of operations, and cash flows. Similarly, the CCPA, which came into effect on January 1, 2020, gives California residents specific rights in relation to their personal information, requires that companies take certain actions, including notifications for security incidents and may apply to activities regarding personal information that is collected by us, directly or indirectly, from California residents. As interpretation and enforcement of the CCPA evolves, it creates a range of new compliance obligations, which could cause us to change our business practices, with the possibility for significant financial penalties for noncompliance that may materially adversely affect our business, reputation, results of operations, and 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noted above, we are also subject to the possibility of information security breaches, which themselves may result in a violation of these laws. Additionally, if we acquire a company that has violated or is not in compliance with applicable data protection laws, we may incur significant liabilities and penalties as a result.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Because our common units are yield-oriented securities, increases in interest rates could materially adversely impact our unit price, our ability to issue equity or incur debt for acquisitions or other purposes and our ability to make cash distributions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Interest rates were generally near historic lows in 2021 and may increase in the future. As with other yield-oriented securities, our unit price is impacted by the level of our cash distributions and implied distribution yield. The distribution yield is often used by investors to compare and rank yield-oriented securities for investment decision-making purposes. Therefore, changes in interest rates, either positive or negative, may affect the yield requirements of investors who invest in our common units, and a rising interest rate environment could have a material adverse impact on our unit price, our ability to issue equity or incur debt for acquisitions or other purposes and our ability to make cash distributions at our intended levels.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amount of cash we have available for distribution to holders of our units depends primarily on our cash flows rather than on our profitability, which may prevent us from making distributions, even during periods in which we record net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amount of cash we have available for distribution depends primarily upon our cash flows and not solely on profitability, which will be affected by non-cash items. As a result, we may make cash distributions during periods when we report net losses for GAAP purposes and may not make cash distributions during periods when we report net income for GAAP purposes.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market price of our common units may fluctuate significantly and, due to limited daily trading volumes, an investor could lose all or part of its investment in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 investor may not be able to resell its common units at or above its acquisition price. Additionally, limited liquidity may result in wide bid-ask spreads, contribute to significant fluctuations in the market price of the common units and limit the number of investors who are able to buy the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units may decline and be influenced by many factors, some of which are beyond our control, including among others: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quarterly distributions, if any;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quarterly or annual earnings or those of other companies in our industry;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loss of a large customer;</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announcements by our customers or others regarding our customers or changes in our customers’ credit ratings, liquidity position, leverage profile and/or other financial or credit-related metrics;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announcements by our competitors of significant contracts or acquisitions;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general economic and geopolitical conditions;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the failure of securities analysts to cover our common units or changes in financial estimates by analysts;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other factors described in these Risk Factors.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Partnership Agreement replaces our General Partner’s fiduciary duties to unitholders and those of our officers and directors with contractual standards governing their duties.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provisions that eliminate fiduciary duties to which our General Partner and its officers and directors would otherwise be held by state fiduciary duty law and replaces those duties with several different contractual standards.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By purchasing a common unit, a common unitholder agrees to become bound by the provisions in the Partnership Agreement, including the provisions discussed above.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Partnership Agreement limits the liabilities of our General Partner and its officers and directors and the rights of our unitholders with respect to actions taken by our General Partner and its officers and directors that might otherwise constitute breaches of fiduciary duty.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provisions that limit the liability of our General Partner and the rights of our unitholders with respect to actions taken by our General Partner that might otherwise constitute breaches of fiduciary duty under state fiduciary duty law. For example, our Partnership Agreement provides that: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whenever our General Partner makes a determination or takes, or declines to take, any other action in its capacity as our General Partner, our General Partner is required to make such determination, or take or decline to take such other action, in good faith, meaning that it subjectively believed that the decision was in our best interests, and will not be subject to any other or different standard imposed by our Partnership Agreement, Delaware law, or any other law, rule or regulation, or at equity;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General Partner will not have any liability to us or our unitholders for decisions made in its capacity as a General Partner so long as such decisions are made in good faith;</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General Partner and its officers and directors will not be liable for monetary damages to us, our limited partners or their assignees resulting from any act or omission unless there has been a final and non-appealable judgment entered by a court of competent jurisdiction determining that our General Partner or its officers and directors, as the case may be, acted in bad faith or engaged in fraud or willful misconduct or, in the case of a criminal matter, acted with knowledge that the conduct was criminal;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General Partner will not be in breach of its obligations under the Partnership Agreement or its duties to us or our unitholders if a transaction with an affiliate or the resolution of a conflict of interest is: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i.approved by the Conflicts Committee, if established, although our General Partner is not obligated to seek such approval;</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ii.approved by the vote of a majority of the outstanding common units, excluding any common units owned by our General Partner and its affiliates;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iii.on terms no less favorable to us than those generally being provided to or available from unrelated third parties; or</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iv.fair and reasonable to us, taking into account the totality of the relationships among the parties involved, including other transactions that may be particularly favorable or advantageous to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a situation involving a transaction with an affiliate or a conflict of interest, any determination by our General Partner or the Conflicts Committee must be made in good faith. If an affiliate transaction or the resolution of a conflict of interest is not approved by our common unitholders or the Conflicts Committee and the Board of Directors determines that the resolution or course of action taken with respect to the affiliate transaction or conflict of interest satisfies either of the standards set forth in the final two subclauses above, then it will be presumed that, in making its decision, the Board of Directors acted in good faith, and in any proceeding brought by or on behalf of any limited partner or the partnership, the person bringing or prosecuting such proceeding will have the burden of overcoming such presumption.</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Partnership Agreement restricts the voting rights of unitholders owning 20% or more of our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Unitholders' voting rights are further restricted by a provision of our Partnership Agreement providing that any person or group that owns 20% or more of any class of units then outstanding cannot vote on any matter, other than our General Partner, its affiliates, their transferees and persons who acquired such units with the prior approval of the Board of Directors.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may issue additional units without unitholder approval, which would dilute existing ownership interests.</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Except in the case of the issuance of units that rank equal to or senior to the Series A Preferred Units, our Partnership Agreement does not limit the number of additional limited partner interests, including limited partner interests that rank senior to the common units that we may issue at any time without the approval of our unitholders.</w:t>
      </w:r>
    </w:p>
    <w:p>
      <w:pPr>
        <w:pStyle w:val="TextBody"/>
        <w:spacing w:lineRule="auto" w:line="288" w:before="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result of the 2022 Preferred Exchange Offer (as defined herein), as of January 14, 2022, we have outstanding Series A Preferred Units having an issue price of less than $100 million. As a result, under our Partnership Agreement, we may now issue additional securities in parity with the Series A Preferred Units without any vote of the holders of the Series A Preferred Units (except where the cumulative distributions on the Series A Preferred Units or any parity securities are in arrears) and without the approval of holders of our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Series A Preferred Units and any securities in parity with the Series A Preferred Units without any vote of the holders of the Series A Preferred Units (except where the cumulative distributions on the Series A Preferred Units or any parity securities are in arrears and in certain other circumstances) and without the approval of our common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issuance by us of additional common units or other equity securities of equal or senior rank will decrease our existing unitholders' proportionate ownership interest in us. In addition, the issuance by us of additional common units or other equity securities of equal or senior rank may have the following effects: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decreasing the amount of cash available for distribution on each unit;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increasing the ratio of taxable income to distributions;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diminishing the relative voting strength of each previously outstanding unit;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causing the market price of the common units to decline.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Future issuances and sales of parity securities, or the perception that such issuances and sales could occur, may cause prevailing market prices for our common units and the Series A Preferred Units to decline and may adversely affect our ability to raise additional capital in the financial markets at times and prices favorable to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Furthermore, the payment of distributions on any additional units may increase the risk that we will not be able to make distributions at our prior per unit distribution levels. To the extent new units are senior to our common units, including units issued to third parties at a subsidiary level, their issuance will increase the uncertainty of the payment of distributions on our common units.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Holders of Series A Preferred Units have limited voting rights, which may be diluted.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holders of the Series A Preferred Units are entitled to limited voting rights with respect to certain matters, the Series A Preferred Units generally vote separately as a class along with any other series of our parity securities that we may issue upon which like voting rights have been conferred and are exercisable. As a result, the voting rights of holders of Series A Preferred Units may be significantly diluted, and the holders of such other series of parity securities that we may issue may be able to control or significantly influence the outcome of any vote.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General Partner has a limited call right that may require an investor to sell its units at an undesirable time or price.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at any time our General Partner and its affiliates own more than 80% of our outstanding common units, our General Partner will have the right, which it may assign to any of its affiliates or to us, but not the obligation, to acquire all, but not less than all, of the common units held by unaffiliated persons at a price that is not less than their then-current market price, as calculated pursuant to the terms of our Partnership Agreement. As a result, an investor may be required to sell its common units at an undesirable time or price and may not receive any return on its investment. An investor may also incur a tax liability upon a sale of its units.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An investor's liability may not be limited if a court finds that unitholder action constitutes control of our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General Partner of a partnership generally has unlimited liability for the obligations of the partnership, except for those contractual obligations of the partnership that are expressly made without recourse to the General Partner. Our partnership is organized under Delaware law, and we conduct business in a number of other states. The limitations on the liability of holders of limited partner interests for the obligations of a limited partnership have not been clearly established in some of the other states in which we do business. An investor could be liable for any and all of our obligations as if it was a General Partner if a court or government agency were to determine that:</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were conducting business in a state but had not complied with that particular state's partnership statute; or</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 investor's right to act with other unitholders to remove or replace our General Partner, to approve some amendments to our Partnership Agreement or to take other actions under our Partnership Agreement constitute control of our business.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Partnership Agreement designates the Court of Chancery of the State of Delaware as the exclusive forum for certain types of actions and proceedings that may be initiated by our unitholders, which limits our unitholders’ ability to choose the judicial forum for disputes with us or our General Partner’s directors, officers or other employees.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provides that, with certain limited exceptions, the Court of Chancery of the State of Delaware is the exclusive forum for any claims, suits, actions or proceedings (1) arising out of or relating in any way to our Partnership Agreement (including any claims, suits or actions to interpret, apply or enforce the provisions of our Partnership Agreement or the duties, obligations or liabilities among our partners, or obligations or liabilities of our partners to us, or the rights or powers of, or restrictions on, our partners or us), (2) brought in a derivative manner on our behalf, (3) asserting a claim of breach of a duty (including a fiduciary duty) owed by any of our, or our General Partner’s, directors, officers, or other employees, or owed by our General Partner, to us or our partners, (4) asserting a claim against us arising pursuant to any provision of the Delaware Revised Uniform Limited Partnership Act or (5) asserting a claim against us governed by the internal affairs doctrine. Any person or entity purchasing or otherwise acquiring any interest in our common units is deemed to have received notice of and consented to the foregoing provisions. This exclusive forum provision does not apply to a cause of action brought under federal or state securities laws. Although management believes this choice of forum provision benefits us by providing increased consistency in the application of Delaware law in the types of lawsuits to which it applies, the provision may have the effect of discouraging lawsuits against us and our General Partner’s directors and officers. The enforceability of similar choice of forum provisions in other companies’ certificates of incorporation or similar governing documents has been challenged in legal proceedings and it is possible that in connection with any action a court could find the choice of forum provisions contained in our Partnership Agreement to be inapplicable or unenforceable in such action.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financial position, results of operations and ability to make cash distributions to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Unitholders may have liability to repay distributions that were wrongfully distributed to them.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unitholders may have to repay amounts wrongfully returned or distributed to them. Under Delaware law, we may not make a distribution if the distribution would cause our liabilities to exceed the fair value of our assets.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Substituted limited partners are liable both for the obligations of the assignor to make contributions to the partnership that were known to the substituted limited partner at the time it became a limited partner and for those obligations that were unknown if the liabilities could have been determined from the Partnership Agreement. Neither liabilities to partners on account of their partnership interest nor liabilities that are non-recourse to the partnership are counted for purposes of determining whether a distribution is permitted.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an investor is not an eligible holder, it may not receive distributions or allocations of income or loss on those common units and those common units will be subject to redemption.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adopted certain requirements regarding those investors who may own our common units and Series A Preferred Units. Eligible holders are U.S. individuals or entities subject to U.S. federal income taxation on the income generated by us or entities not subject to U.S. federal income taxation on the income generated by us, so long as all of the entity's owners are U.S. individuals or entities subject to such taxation. If an investor is not an eligible holder, our General Partner may elect not to make distributions or allocate income or loss on that investor's units, and it runs the risk of having its units redeemed by us at the lower of purchase price cost or the then-current market price. The redemption price may be paid in cash or by delivery of a promissory note, as determined by our General Partner.</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Series A Preferred Units have rights, preferences and privileges that are not held by, and are preferential to the rights of, holders of our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Series A Preferred Units rank senior to our common units with respect to distribution rights and rights upon liquidation. These preferences could adversely affect the market price for our common units or could make it more difficult for us to sell our common units in the future.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 prior to December 15, 2022, distributions on the Series A Preferred Units accumulate and are cumulative at the rate of 9.50% per annum of $1,000, the liquidation preference of the Series A Preferred Units and (ii) on and after December 15, 2022, distributions on the Series A Preferred Units will accumulate for each distribution period at a percentage of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rPr>
        <w:t xml:space="preserve">$1,000 equal to the three-month LIBOR plus a spread of 7.43%. </w:t>
      </w:r>
      <w:r>
        <w:rPr>
          <w:rFonts w:ascii="Times New Roman;sans-serif" w:hAnsi="Times New Roman;sans-serif"/>
          <w:b w:val="false"/>
          <w:color w:val="000000"/>
          <w:sz w:val="20"/>
          <w:highlight w:val="white"/>
        </w:rPr>
        <w:t xml:space="preserve">We have not made a distribution on our common units or Series A Preferred Units since we announced suspension of those distributions on May 3, 2020. </w:t>
      </w:r>
      <w:r>
        <w:rPr>
          <w:rFonts w:ascii="Times New Roman;sans-serif" w:hAnsi="Times New Roman;sans-serif"/>
          <w:b w:val="false"/>
          <w:color w:val="000000"/>
          <w:sz w:val="20"/>
        </w:rPr>
        <w:t>As of December 31, 2021, the amount of accrued and unpaid distributions on the Series A Preferred Units was $29.9 million. Unpaid distributions on the Series A Preferred Units will continue to accrue.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our Subsidiary Series A Preferred Units issued by Permian Holdco have priority over the common unitholders with respect to the cash flow from Permian Holdco. The distribution rate of the Subsidiary Series A Preferred Units is 7.00% per annum of the $1,000 issue amount per outstanding Subsidiary Series A Preferred Unit. Permian Holdco has the option to pay this distribution in-kind until the first quarter of 2022, which is the first full quarter following the date the Double E Pipeline was placed in service.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obligation to pay distributions on our Series A Preferred Units and Permian Holdco’s obligation to pay the distributions on the Subsidiary Series 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Series A Preferred Units contain covenants that may limit our business flexibility.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Series A Preferred Units contain covenants preventing us from taking certain actions without the approval of the holders of 66 2/3% of the Series A Preferred Units. The need to obtain the approval of holders of the Series A Preferred Units before taking these actions could impede our ability to take certain actions that management or the Board of Directors may consider to be in the best interests of our unitholders. The affirmative vote of 66 2/3% of the outstanding Series A Preferred Units, voting as a single class, is necessary to amend the Partnership Agreement in any manner that would have a material adverse effect on the existing preferences, rights, powers, duties or obligations of the Series A Preferred Units. The affirmative vote of 66 2/3% of the outstanding Series A Preferred Units and any outstanding series of other preferred units, voting as a single class, is necessary to (A) under certain circumstances, create or issue certain equity securities that are senior to our common units, (B) declare or pay any distribution to common unitholders out of capital surplus or (C) take any action that would result in an event of default for failure to comply with any covenant in the indentures governing the 5.5% Senior Notes or the 2025 Senior Notes co-issued by Summit Holdings and its 100% owned finance subsidiary, Finance Corp.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holders of the Series A Preferred Units are entitled to limited voting rights with respect to certain matters, the Series A Preferred Units generally vote as a class, separate from our common unitholders, along with any other series of our parity securities that we may issue upon which like voting rights have been conferred and are exercisable.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Tax Risks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tax treatment depends on our status as a partnership for federal income tax purposes. If the IRS were to treat us as a corporation for federal income tax purposes, which would subject us to entity-level taxation, then our cash available for distribution to our unitholders would be substantially reduced.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anticipated after-tax economic benefit of an investment in our units depends largely on our being treated as a partnership for federal income tax purposes.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Despite the fact that we are a limited partnership under Delaware law, it is possible in certain circumstances for a partnership such as ours to be treated as a corporation for federal income tax purposes. A change in our business or a change in current law could cause us to be treated as a corporation for federal income tax purposes or otherwise subject us to taxation as an entity.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we were treated as a corporation for federal income tax purposes, we would pay federal income tax on our taxable income at the corporate tax rate, which is currently 21%, and would likely pay state and local income tax at varying rates. Distributions to our unitholders would generally be taxed again as corporate dividends (to the extent of our current and accumulated earnings and profits), and no income, gains, losses, deductions, or credits would flow through to our unitholders. Because a tax would be imposed upon us as a corporation, our cash available for distribution would be substantially reduced. Therefore, if we were treated as a corporation for federal income tax purposes, there would be material reductions in the anticipated cash flow and after-tax return to our unitholders, likely causing a substantial reduction in the value of our units. This could adversely affect our financial position, results of operations and ability to make distributions to our unitholders.</w:t>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we were subjected to a material amount of additional entity-level taxation by individual states, it would reduce our cash available for distribution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in current state law may subject us to additional entity-level taxation by individual states. Because of widespread state budget deficits and other reasons, several states are evaluating ways to subject partnerships to entity-level taxation through the imposition of state income, franchise and other forms of taxation. Imposition of any such taxes may substantially reduce the cash available for distribution.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tax treatment of publicly traded partnerships or an investment in our units could be subject to potential legislative, judicial or administrative changes and differing interpretations of applicable law, possibly on a retroactive basis.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present U.S. federal income tax treatment of publicly traded partnerships, including us, or an investment in our units may be modified by administrative, legislative or judicial changes or differing interpretations at any time. From time to time, the President and members of the U.S. Congress propose and consider substantive changes to the existing federal income tax laws that affect publicly traded partnerships.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modification to the U.S. federal income tax laws and interpretations could make it more difficult or impossible to meet the exception for us to be treated as a partnership for U.S. federal income tax purposes. One recent proposal was contained in the Biden Administration’s budget proposal released on May 28, 2021, which would repeal the application of the qualifying income exception to partnerships with income and gains from activities relating to fossil fuels for taxable years beginning after 2026. Additionally, Senate Finance Committee Chair Ron Wyden recently proposed legislation that would repeal the application of the qualifying income exception to all partnerships for taxable years beginning after 2022. We are unable to predict whether any such changes will ultimately be enacted, but it is possible that a change in law could affect us and may, if enacted, be applied retroactively. Any such changes could negatively impact the value of an investment in our units.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unitholders are required to pay income taxes on their share of our taxable income even if they do not receive any cash distributions from us. A unitholder’s share of our taxable income, and its relationship to any distributions we make, may be affected by a variety of factors, including our economic performance, transactions in which we engage or changes in law and may be substantially different from any estimate we make in connection with a unit offering.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unitholder’s allocable share of our taxable income will be taxable to it, which may require the unitholder to pay federal income taxes and, in some cases, state and local income taxes, even if the unitholder receives cash distributions from us that are less than the actual tax liability that results from that income or no cash distributions at all.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 For instance, under Tax Reform Legislation, the net interest expense deductions of certain business entities, including us, are limited to 30% of such entity’s “adjusted taxable income,” which is generally taxable income with certain modifications. If the limit applies, a unitholder’s taxable income allocations will be more (or its net loss allocations will be less) than would have been the case absent the limitation.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in connection with an offering of our common units, we may state an estimate of the ratio of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engaged in recent transactions that generated substantial COD income on a per unit basis relative to the trading price of our common units. We may engage in other transactions that result in substantial COD income or other gains in the future, and such events may cause a unitholder to be allocated income with respect to our units with no corresponding distribution of cash to fund the payment of the resulting tax liability to the unitholder.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unitholder’s share of our taxable income will include any COD income recognized upon the satisfaction of our outstanding indebtedness for total consideration less than the adjusted issue price (and any accrued but unpaid interest) of such indebtedness. In recent years, we have engaged in various liability management transactions that resulted in substantial COD income. We may engage in other transactions that result in substantial COD income or other gains, such as gains upon assets sales, in the future. Depending upon the net amount of other items related to our loss (or income) allocable to a unitholder, any COD income or other gains may cause a unitholder to be allocated income with respect to our units with no corresponding distribution of cash to fund the payment of the resulting tax liability to the unitholder. Furthermore, such COD income event or other gain event may not be fully offset, either now or in the future, by capital losses, which are subject to significant limitations, or other losses. Accordingly, a COD income event or other gain event could cause a unitholder to realize taxable income without corresponding future economic benefits or offsetting tax deductions.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If the IRS contests the federal income tax positions we take, the market for our units may be adversely impacted and the cost of any IRS contest would likely reduce our cash available for distribution to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IRS may adopt positions that differ from the conclusions of our counsel expressed in a prospectus or from the positions we take, and the IRS's positions may ultimately be sustained. It may be necessary to resort to administrative or court proceedings to sustain some or all of our counsel’s conclusions or the positions we take and such positions may not ultimately be sustained. A court may not agree with some or all of our counsel’s conclusions or the positions we take. Any contest with the IRS, and the outcome of any IRS contest, may have a materially adverse effect on the market for our units and the price at which they trade. In addition, our costs of any contest with the IRS would be borne indirectly by our unitholders because the costs would likely reduce our cash available for distribution.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Unitholders may be subject to limitation on their ability to deduct interest expense incurred by 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general, we are entitled to a deduction for interest paid or accrued on indebtedness properly allocable to our trade or business during our taxable year. However, under the Tax Reform Legislation, our deduction for “business interest” is limited to the sum of our business interest income and 30% of our “adjusted taxable income.” For purposes of this limitation, our adjusted taxable income is computed without regard to any business interest expense or business interest income, and in the case of taxable years, beginning before January 1, 2022, any deduction allowable for depreciation, amortization, or depletion.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Tax gain or loss on the disposition of our units could be more or less than expected.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a unitholder sells its units, a gain or loss will be recognized for federal income tax purposes equal to the difference between the amount realized and the unitholder's tax basis in those units. Because distributions in excess of a unitholder's allocable share of its net taxable income decrease its tax basis in its units, the amount, if any, of such prior excess distributions with respect to the units it sells will, in effect, become taxable income to the unitholder if it sells such units at a price greater than its tax basis in those units, even if the price it receives is less than its original cost. Furthermore, a substantial portion of the amount realized on any sale or other disposition of a unitholder's units, whether or not representing gain, may be taxed as ordinary income due to potential recapture items, including depreciation recapture. In addition, because the amount realized includes a unitholder's share of our nonrecourse liabilities, if a unitholder sells its units, it may incur a tax liability in excess of the amount of cash it receives from the sale.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Tax-exempt entities and non-U.S. persons face unique tax issues from owning our units that may result in adverse tax consequences to them.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Investment in our units by tax-exempt entities, such as employee benefit plans and individual retirement accounts (“IRAs”), and non-U.S. persons raises issues unique to them. For example, virtually all of our income allocated to an organization that is exempt from federal income tax, including IRAs and other retirement plans, will be unrelated business taxable income (“UBTI”) and will be taxable to the exempt organization as UBTI on the exempt organization’s tax return in the year the exempt organization is allocated the income. Under the Tax Reform Legislation, an exempt organization is required to independently compute its UBTI from each separate unrelated trade or business which may prevent an exempt organization from utilizing losses we allocate to the organization against the organization’s UBTI from other sources and vice versa. Distributions to non-U.S. persons will be reduced by withholding taxes at the highest applicable effective tax rate, and non-U.S. persons will be required to file federal income tax returns and applicable state tax returns and pay tax on their share of our taxable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Tax Reform Legislation, if a unitholder sells or otherwise disposes of a unit, the transferee is required to withhold 10.0% of the amount realized by the transferor unless the transferor certifies that it is not a foreign person, and we are required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deduct and withhold from the transferee amounts that should have been withheld by the transferee but were not withheld. However, the U.S. Treasury and the IRS have suspended these rules for transfers of certain publicly traded partnership interests, including transfers of our common units, that occur before January 1, 2023. Under recently finalized Treasury Regulations, such withholding will be required on open market transactions, but in the case of a transfer made through a broker, a partner’s share of liabilities will be excluded from the amount realized. In addition, the obligation to withhold will be imposed on the broker instead of the transferee (and we will generally not be required to withhold from the transferee amounts that should have been withheld by the transferee but were not withheld). These withholding obligations will apply to transfers of our common units occurring on or after January 1, 2023.</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treat each holder of our common units as having the same tax benefits without regard to the actual common units held. The IRS may challenge this treatment, which could adversely affect the value of the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our unitholders. A successful IRS challenge also could affect the timing of these tax benefits or the amount of gain from a unitholder’s sale of common units and could have a negative impact on the value of our common units or result in audit adjustments to the unitholder’s tax returns.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Treatment of distributions on our Series A Preferred Units as guaranteed payments for the use of capital creates a different tax treatment for the holders of our Series A Preferred Units than the holders of our common units and such distributions are not eligible for the 20% deduction for qualified publicly traded partnership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tax treatment of distributions on our Series A Preferred Units is uncertain. We will treat the holders of Series A Preferred Units as partners for tax purposes and will treat distributions on the Series A Preferred Units as guaranteed payments for the use of capital that will generally be taxable to the holders of Series A Preferred Units as ordinary income. A holder of Series A Preferred Units may recognize taxable income from the accrual of such a guaranteed payment even in the absence of a contemporaneous distribution, and we anticipate accruing and making the guaranteed payment distributions semi-annually on the 15th day of June and December through December 15, 2022, and quarterly on the 15th day of March, June, September and December thereafter. Because the guaranteed payment for each unit must accrue as income to a holder during the taxable year of the accrual, the guaranteed payment attributable to the period beginning December 15th and ending December 31st will accrue to the holder of record of a Series A Preferred Unit on December 31st for such period. Otherwise, except in the case of our liquidation, the holders of Series A Preferred Units are generally not anticipated to share in our items of income, gain, loss or deduction. We will not allocate any share of its nonrecourse liabilities to the holders of Series A Preferred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Treasury Regulations provide that a guaranteed payment for the use of capital generally is not taken into account for purposes of computing qualified business income for purposes of the 20% deduction for qualified publicly traded partnership will not constitute an allocable or distributive share of such income. As a result, the guaranteed payment for use of capital received by holders of our Series A Preferred Units may not be eligible for the 20% deduction for qualified publicly traded partnership income.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holder of Series A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A Preferred Units. Subject to general rules requiring a blended basis among multiple partnership interests, the tax basis of a Series A Preferred Unit will generally be equal to the sum of the cash and the fair market value of other property paid by the holder to acquire such Series A Preferred Unit. Gain or loss recognized by a holder on the sale or exchange of a Series A Preferred Unit held for more than one year generally will be taxable as long-term capital gain or loss. Because holders of Series A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Investment in the Series A Preferred Units by tax-exempt investors, such as employee benefit plans and IRAs, and non-U.S. persons raises issues unique to them. Although the issue is not free from doubt, we will treat distributions to non-U.S. holders of the Series A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tax-exempt investors is not certain and such payments may be treated as unrelated business taxable income for federal income tax purposes.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holders of our Series A Preferred Units are urged to consult a tax advisor with respect to the consequences of owning our Series A Preferred Units.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Treasury Regulations allow a similar monthly simplifying convention, but do not specifically authorize the use of the proration method we have adopted. If the IRS were to challenge our proration method, or if new Treasury Regulations were issued, we may be required to change the allocation of items of income, gain, loss and deduction among our unitholders.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 unitholder whose units are loaned to a “short seller” to cover a short sale of units may be considered as having disposed of those units. If so, the unitholder would no longer be treated for federal income tax purposes as a partner with respect to those units during the period of the loan and may recognize gain or loss from the disposition.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a unitholder whose units are loaned to a “short seller” to cover a short sale of units may be considered as having disposed of the loaned units, the unitholder may no longer be treated for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loaning their units.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We have adopted certain valuation methodologies and monthly conventions for U.S. federal income tax purposes that may result in a shift of income, gain, loss and deduction among our unitholders. The IRS may challenge this treatment, which could adversely affect the value of our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When we issue additional units or engage in certain other transactions, we will determine the fair market value of our assets. Although we may from time to time consult with professional appraisers regarding valuation matters, we make many fair market value estimates using a methodology based on the market value of our units as a means to measure the fair market value of our assets. The IRS may challenge these valuation methods and the resulting allocations of income, gain, loss and deduction.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successful IRS challenge to these methods or allocations could adversely affect the amount, character and timing of taxable income or loss being allocated to our unitholders. It also could affect the amount of taxable gain from our unitholders' sale of units and could have a negative impact on the value of the units or result in audit adjustments to our unitholders' tax returns without the benefit of additional deductions.</w:t>
      </w:r>
    </w:p>
    <w:p>
      <w:pPr>
        <w:pStyle w:val="TextBody"/>
        <w:spacing w:lineRule="auto" w:line="288" w:before="120" w:after="283"/>
        <w:rPr/>
      </w:pPr>
      <w:r>
        <w:rPr>
          <w:rFonts w:ascii="Times New Roman;sans-serif" w:hAnsi="Times New Roman;sans-serif"/>
          <w:b/>
          <w:i/>
          <w:color w:val="000000"/>
          <w:sz w:val="20"/>
        </w:rPr>
        <w:t>If the IRS makes audit adjustments to our income tax returns, the IRS (and some states) may collect any resulting taxes (including any applicable penalties and interest) resulting from such audit adjustment directly from us, in which case we</w:t>
      </w:r>
      <w:r>
        <w:rPr>
          <w:color w:val="000000"/>
        </w:rPr>
        <w:t> </w:t>
      </w:r>
      <w:r>
        <w:rPr>
          <w:rFonts w:ascii="Times New Roman;sans-serif" w:hAnsi="Times New Roman;sans-serif"/>
          <w:b/>
          <w:i/>
          <w:color w:val="000000"/>
          <w:sz w:val="20"/>
        </w:rPr>
        <w:t>may require our unitholders and former unitholders to reimburse us for such taxes (including any applicable penalties or interest) or, if we are required to bear such payment, our cash available for distribution to our unitholders could be substantially reduced.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 IRS makes audit adjustments to our income tax returns, it may collect any resulting taxes (including any applicable penalties and interest) directly from us. We will generally have the ability to shift any such tax liability to our unitholders in accordance with their interests in us during the year under audit, but there can be no assurance that we will be able to do so (and will choose to do so) under all circumstances, or that we will be able to (or choose to) effect corresponding shifts in state income or similar tax liability resulting from the IRS adjustment in states in which we do business in the year under audit or in the adjustment year. If, we make payments of taxes, penalties and interest resulting from audit adjustments, we may require our unitholders and former unitholders to reimburse us for such taxes (including any applicable penalties or interest) or, if we are required to bear such payment, our cash available for distribution to our unitholders could be substantially reduced. Additionally, we may be required to allocate an adjustment disproportionately among our unitholders, causing the publicly traded units to have different capital accounts, unless the IRS issues further guidance.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As a result of investing in our units, our unitholders will likely be subject to state and local taxes and return filing requirements in jurisdictions where we operate or own or acquire properties.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federal income taxes, our unitholders will likely be subject to other taxes, including state and local taxes, unincorporated business taxes and estate, inheritance or intangible taxes that are imposed by the various jurisdictions in which we conduct business or control property now or in the future, even if the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Some of the states in which we conduct business currently impose a personal income tax on individuals. As we make acquisitions or expand our business, we may control assets or conduct business in additional states that impose a personal income tax. It is the unitholder's responsibility to file all federal, state and local tax returns.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Compliance with and changes in tax laws could adversely affect our performance.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tax laws and regulations, including federal and state income taxes and transactional taxes such as excise, sales/use, payroll, franchise and ad valorem taxes. New tax laws and regulations and changes in existing tax laws and regulations are continuously being enacted that could result in increased tax expenditures in the future. Many of these tax liabilities are subject to audits by the respective taxing authority. These audits may result in additional taxes as well as interest and penalties.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Risks Related to Terrorism and Cyberterrorism</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Terrorist attacks and threats, escalation of military activity in response to these attacks or acts of war could have a material adverse effect on our business, financial condition or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 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operations depend on the use of information technology (“IT”) systems that could be the target of a cyberattack.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oil and gas industry has become increasingly dependent on digital technologies to conduct day-to-day operations, including certain midstream activities. For example, software programs are used to manage gathering and transportation systems and for compliance reporting. The use of mobile communication devices has increased rapidly. Industrial control systems now control large scale processes that can include multiple sites and long distances, such as oil and gas pipelines.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operations depend on the use of sophisticated IT systems. Our IT systems and networks, as well as those of our customers, vendors and counterparties, may become the target of cyber-attacks or information security breaches, which in turn could result in the unauthorized release and misuse of sensitive or proprietary information as well as disrupt our operations, damage our reputation or damage our facilities or those of third parties, which could have a material adverse effect on our revenues and increase our operating and capital costs, which could reduce the amount of cash otherwise available for distribution. In addition, certain cyber-incidents, such as surveillance, may remain undetected for an extended period. We may be required to incur additional costs to modify or enhance our IT systems or to prevent or remediate any such attacks.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cyber-incident involving our IT systems and related infrastructure, or that of our customers, venders and counterparties, could disrupt our business plans and negatively impact our operations in the following ways, among others: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cyber-attack on a vendor or service provider could result in supply chain disruptions, which could delay or halt development of additional infrastructure, effectively delaying the start of cash flows from the project;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cyber-attack on downstream pipelines could prevent us from delivering product at the tailgate of our facilities, resulting in a loss of revenues;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cyber-attack on a communications network or power grid could cause operational disruption, resulting in loss of revenues;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 deliberate corruption of our financial or operational data could result in events of non-compliance, which could lead to regulatory fines or penalties;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business interruptions could result in expensive remediation efforts, distraction of management, damage to our reputation or a negative impact on the price of our units.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description of our properties is included in Item 1. Business, and is incorporated herein by reference. For additional information on our midstream assets and their capacities, see Item 1. Business.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 exception of certain ordinary course encumbrances and permits with governmental entities that have been applied for, but not yet issued.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lease various office space under leases to support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 contemplated to be brought against us, under the various environmental protection statutes to which we are subject, except as noted below.</w:t>
      </w:r>
    </w:p>
    <w:p>
      <w:pPr>
        <w:pStyle w:val="TextBody"/>
        <w:spacing w:lineRule="auto" w:line="288" w:before="120" w:after="283"/>
        <w:rPr/>
      </w:pPr>
      <w:r>
        <w:rPr>
          <w:rFonts w:ascii="Times New Roman;sans-serif" w:hAnsi="Times New Roman;sans-serif"/>
          <w:b w:val="false"/>
          <w:i/>
          <w:color w:val="000000"/>
          <w:sz w:val="20"/>
        </w:rPr>
        <w:t xml:space="preserve">Global Settlement. </w:t>
      </w:r>
      <w:r>
        <w:rPr>
          <w:rFonts w:ascii="Times New Roman;sans-serif" w:hAnsi="Times New Roman;sans-serif"/>
          <w:b w:val="false"/>
          <w:color w:val="000000"/>
          <w:sz w:val="20"/>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six years, with interest accruing at fixed rate of 3.25%;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which will include payment in full of certain components of the fines and penalty amounts; and (iv) compliance with the remedial measures in the Consent Decree.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and approval of the Global Settlement is now complete.</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Moore Control Systems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Separately, a demand for arbitration was filed in Houston, Texas by Moore Control Systems, Inc. against Summit Permian. The claimant in that matter was a contractor hired to perform engineering, procurement, and construction services for Summit Permian’s gas processing plant located in Eddy County, New Mexico. The claimant is seeking damages for alleged non-payment for such services. We do not currently believe that the eventual outcome of this matter could have a material adverse effect on our business,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units trade on the NYSE under the ticker symbol “SMLP”. As of December 31, 2021, there were approximately 15,600 common unitholders of record. </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not made a distribution on our common units or Series A Preferred Units since we announced a suspension of those distributions on May 3, 2020.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Cash Distribution Policy and Restrictions on Distributions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283"/>
        <w:rPr/>
      </w:pPr>
      <w:r>
        <w:rPr>
          <w:rFonts w:ascii="Times New Roman;sans-serif" w:hAnsi="Times New Roman;sans-serif"/>
          <w:b/>
          <w:i/>
          <w:color w:val="000000"/>
          <w:sz w:val="20"/>
        </w:rPr>
        <w:t>Suspension of Distributions</w:t>
      </w:r>
      <w:r>
        <w:rPr>
          <w:rFonts w:ascii="Times New Roman;sans-serif" w:hAnsi="Times New Roman;sans-serif"/>
          <w:b w:val="false"/>
          <w:color w:val="000000"/>
          <w:sz w:val="20"/>
        </w:rPr>
        <w:t>. On May 3, 2020, in connection with the GP Buy-In Transaction, the Partnership suspended distributions to holders of its common units and suspended payments of distributions to holders of its Series A Preferred Units, commencing with respect to the quarter ending March 31, 2020. Because our Series A Preferred Units rank senior to our common units with respect to distribution rights, any accrued amounts on our Series A Preferred Units must first be paid prior to our resumption of distributions to our common unitholders. As of December 31, 2021, the amount of accrued and unpaid distributions on the Series A Preferred Units totaled $29.9 million. On January 12, 2022, the Partnership completed an offer to exchange its Series A Preferred Units and accepted for exchange 77,939 Series A Preferred Units for the issuance of 2,853,875 SMLP common units, net of units withheld for withholding taxes. At this time, the Partnership is unable to forecast when it will resume distributions to holders of its common units and Series A Preferred Units.</w:t>
      </w:r>
    </w:p>
    <w:p>
      <w:pPr>
        <w:pStyle w:val="TextBody"/>
        <w:spacing w:lineRule="auto" w:line="288" w:before="120" w:after="283"/>
        <w:rPr/>
      </w:pPr>
      <w:r>
        <w:rPr>
          <w:rFonts w:ascii="Times New Roman;sans-serif" w:hAnsi="Times New Roman;sans-serif"/>
          <w:b/>
          <w:i/>
          <w:color w:val="000000"/>
          <w:sz w:val="20"/>
        </w:rPr>
        <w:t>Our Cash Distribution Policy.</w:t>
      </w:r>
      <w:r>
        <w:rPr>
          <w:color w:val="000000"/>
        </w:rPr>
        <w:t> </w:t>
      </w:r>
      <w:r>
        <w:rPr>
          <w:rFonts w:ascii="Times New Roman;sans-serif" w:hAnsi="Times New Roman;sans-serif"/>
          <w:b w:val="false"/>
          <w:color w:val="000000"/>
          <w:sz w:val="20"/>
        </w:rPr>
        <w:t>Our Partnership Agreement requires us to distribute all of our available cash quarterly, subject to reserves established by our General Partner. Generally, our available cash is our (i) cash on hand at the end of a quarter after the payment of our expenses and the establishment of cash reserves and (ii) cash on hand resulting from working capital borrowings made after the end of the quarter. Because we are not subject to an entity-level federal income tax, we have more cash to distribute to our unitholders than would be the case were we subject to federal income tax.</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Upon a resumption of the Partnership’s distributions, we will pay our distributions on or about the 15th of each of February, May, August and November to holders of record on or about seven days prior to such distribution date. We make the distribution on the business day immediately preceding the indicated distribution date if the distribution date falls on a holiday or non-business day.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Board of Directors plans on making decisions with respect to payment of distributions on the common units and Series A Preferred Units on a semi-annual or quarterly basis, as applicable, based on the required payment date. However, we do not intend to pay distributions on the common units or Series A Preferred Units in the foreseeable future, and there are restrictions in the agreements for our indebtedness limiting our ability to pay cash distributions on any of our equity securities.</w:t>
      </w:r>
    </w:p>
    <w:p>
      <w:pPr>
        <w:pStyle w:val="TextBody"/>
        <w:spacing w:lineRule="auto" w:line="288" w:before="120" w:after="283"/>
        <w:rPr/>
      </w:pPr>
      <w:r>
        <w:rPr>
          <w:rFonts w:ascii="Times New Roman;sans-serif" w:hAnsi="Times New Roman;sans-serif"/>
          <w:b/>
          <w:i/>
          <w:color w:val="000000"/>
          <w:sz w:val="20"/>
        </w:rPr>
        <w:t>Limitations on Cash Distributions and Our Ability to Change Our Cash Distribution Policy. </w:t>
      </w:r>
      <w:r>
        <w:rPr>
          <w:rFonts w:ascii="Times New Roman;sans-serif" w:hAnsi="Times New Roman;sans-serif"/>
          <w:b w:val="false"/>
          <w:color w:val="000000"/>
          <w:sz w:val="20"/>
        </w:rPr>
        <w:t>There is no guarantee that our unitholders will receive quarterly distributions from us. We do not have a legal obligation to pay any distribution except to the extent we have available cash as defined in our Partnership Agreement. Our cash distribution policy may be changed at any time and is subject to certain restrictions, including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cash distribution policy is subject to restrictions on distributions under our ABL Facility and the 2026 Secured Notes Indenture and the indenture governing the 2025 Notes. These agreements contain financial tests, excess cash flow sweep mechanisms, and covenants that we must satisfy. Should we be unable to satisfy these restrictions, we may be prohibited from making cash distributions notwithstanding our stated cash distribution policy.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cash distribution policy is subject to restrictions on distributions under our Series A Preferred Units. Our Series A Preferred Units contain covenants that we must satisfy. Should we be unable to satisfy these restrictions, we may be prohibited from making cash distributions notwithstanding our stated cash distribution policy.</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Although our Partnership Agreement requires us to distribute all of our available cash, our Partnership Agreement, including the provisions requiring us to distribute all of our available cash, may be amended. We can amend our Partnership Agreement with the consent of our General Partner and the approval of a majority of the outstanding common units.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Under Delaware law, we may not make a distribution if the distribution would cause our liabilities to exceed the fair value of our assets.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If and to the extent our cash available for distribution materially declines, we may elect to reduce our quarterly distribution rate to service or repay our debt or fund expansion capital expenditures.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Preferred Unit Distributions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Series A Preferred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2017, we issued 300,000 Series A Preferred Units at a price to the public of $1,000 per Series A Preferred Unit.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exchanged 18,662 Series A Preferred Units for 538,715 SMLP common units, net of units withheld for withholding taxes (the “2021 Preferred Exchange Offer”). As of December 31, 2021, we had 143,447 Series A Preferred Units outstanding and $29.9 million of accrued and unpaid distributions on our Series A Preferred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2021, we commenced an exchange offer that settled in January 2022 (the “2022 Preferred Exchange Offer” and together with the 2021 Preferred Exchange Offers, the “Preferred Exchange Offers”) whereby we exchanged 77,939 Series A Preferred Units for 2,853,875 SMLP common units, net of units withheld for withholding taxes. As of January 31, 2022, we had 65,508 Series A Preferred Units outstanding and $14.3 million of accrued and unpaid distributions on our Series A Preferred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May 2020, in connection with the GP Buy-In Transaction, the Partnership suspended payments of distributions to holders of its Series A Preferred Units, and we did not make a distribution on our Series A Preferred Units in 2021 or 2020.</w:t>
      </w:r>
    </w:p>
    <w:p>
      <w:pPr>
        <w:pStyle w:val="TextBody"/>
        <w:spacing w:lineRule="auto" w:line="288" w:before="120" w:after="283"/>
        <w:rPr/>
      </w:pPr>
      <w:r>
        <w:rPr>
          <w:rFonts w:ascii="Times New Roman;sans-serif" w:hAnsi="Times New Roman;sans-serif"/>
          <w:b w:val="false"/>
          <w:color w:val="000000"/>
          <w:sz w:val="20"/>
        </w:rPr>
        <w:t>Distributions on the Series A Preferred Units are cumulative and compounding and are payable semi-annually in arrears on the 15th day of each June and December through and including December 15, 2022, and, thereafter,</w:t>
      </w:r>
      <w:r>
        <w:rPr>
          <w:color w:val="000000"/>
          <w:highlight w:val="white"/>
        </w:rPr>
        <w:t> </w:t>
      </w:r>
      <w:r>
        <w:rPr>
          <w:rFonts w:ascii="Times New Roman;sans-serif" w:hAnsi="Times New Roman;sans-serif"/>
          <w:b w:val="false"/>
          <w:color w:val="000000"/>
          <w:sz w:val="20"/>
        </w:rPr>
        <w:t>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 See Note 12 - Partners' Capital and Mezzanine Capital to the consolidated financial statements for additional details.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Subsidiary Series A Preferred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2019 and during the year ended December 31, 2020, Permian Holdco issued 30,057 and 55,251 Subsidiary Series A Preferred Units, respectively, representing limited partner interests in Permian Holdco at a price of $1,000 per unit. As of December 31, 2021, we have 91,439 Subsidiary Series A Preferred Units outstanding.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and 2020, we elected to make PIK distributions and issued 6,131 and 5,251 Subsidiary Series A Preferred Units, respectively, to the holders of the Subsidiary Series A Preferred Units.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 applicable Subsidiary Series A Preferred Distribution Payment Date, in each case, when, as, and if declared by the board of directors of Permian Holdco out of legally available funds for such purpose.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distribution rate is 7.00% per annum of the $1,000 issue amount per outstanding Permian Holdco Subsidiary Series A Preferred Unit. Permian Holdco has the option to pay this distribution in-kind until the first quarter of 2022, which is the first full quarter following the date the Double E Pipeline was placed in service. See Note 12 - Partners' Capital and Mezzanine Capital to the consolidated financial statements for additional details.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April 2021, the Partnership completed the 2021 Preferred Exchange Offer. The Preferred Exchange Offer expired on April 13, 2021, and on April 15, 2021, the Partnership issued 538,715 SMLP common units, net of units withheld for withholding taxes, in exchange for 18,662 Series A Preferred Units. Upon the settlement of the 2021 Preferred Exchange Offer, we eliminated $20.7 million of the Series A Preferred Unit liquidation preference amount, inclusive of accrued distributions due as of the settlement date. The Partnership did not receive any cash proceeds from the 2021 Preferred Exchange Offer.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2022, the Partnership completed the 2022 Preferred Exchange Offer. The 2022 Preferred Exchange Offer expired on January 12, 2022, and on January 14, 2022, the Partnership issued 2,853,875 common units, net of units withheld for withholding taxes, in exchange for 77,939 Series A Preferred Units. Upon the settlement of the 2022 Preferred Exchange Offer, we eliminated $92.6 million of the Series A Preferred Unit liquidation preference amount, inclusive of accrued distributions due as of the settlement date. The Partnership did not receive any cash proceeds from the 2022 Preferred Exchange Offer.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relied on Section 3(a)(9) of the Securities Act to exempt the Preferred Exchange Offer from the registration requirements of the Securities Act. Section 3(a)(9) offers exemptions from the registration requirements of the Securities Act for exchange offers in which (i) the issuer of the securities offered is the same as the issuer of the securities being surrendered, (ii) the holders are not being asked to surrender anything of value other than the outstanding securities, (iii) the exchange offer is made exclusively to existing holders of the issuer’s outstanding securities, and (iv) the issuer does not pay any commission or remuneration for solicitation of the exchange. Because the Partnership offered only its own common units exclusively to the holders of and in exchange for its outstanding Series A Preferred Units, and because it neither paid nor received anything of value other than the subject securities, the Partnership was able to rely on the exemption afforded by Section 3(a)(9) of the Securities Act.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made no repurchases of our common units during the quarter or year ended December 31, 2021.</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MD&amp;A is intended to inform the reader about matters affecting the financial condition and results of operations of the Partnership and its subsidiaries. As a result, the following discussion for the year ended December 31, 2021 should be read in conjunction with the consolidated financial statements and notes thereto included in this Annual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are a value-driven limited partnership focused on developing, owning and operating midstream energy infrastructure assets that are strategically located in unconventional resource basins, primarily shale formations, in the continental United States.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Permian segments, (ii) the sale of natural gas we retain from certain Barnett segment customers, (iii) the sale of condensate we retain from our gathering services in the Piceance segment and (iv) additional gathering fees that are tied to the performance of certain commodity price indexes that which are then added to the fixed gathering rates. During the year ended December 31, 2021, these additional activities accounted for approximately 22% of our total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Years Ended December 31, 2021 and 2020” section herein.</w:t>
      </w:r>
    </w:p>
    <w:tbl>
      <w:tblPr>
        <w:tblW w:w="9474" w:type="dxa"/>
        <w:jc w:val="left"/>
        <w:tblInd w:w="0" w:type="dxa"/>
        <w:tblCellMar>
          <w:top w:w="28" w:type="dxa"/>
          <w:left w:w="28" w:type="dxa"/>
          <w:bottom w:w="28" w:type="dxa"/>
          <w:right w:w="28" w:type="dxa"/>
        </w:tblCellMar>
      </w:tblPr>
      <w:tblGrid>
        <w:gridCol w:w="2467"/>
        <w:gridCol w:w="2161"/>
        <w:gridCol w:w="2182"/>
        <w:gridCol w:w="211"/>
        <w:gridCol w:w="826"/>
        <w:gridCol w:w="109"/>
        <w:gridCol w:w="109"/>
        <w:gridCol w:w="109"/>
        <w:gridCol w:w="109"/>
        <w:gridCol w:w="211"/>
        <w:gridCol w:w="826"/>
        <w:gridCol w:w="154"/>
      </w:tblGrid>
      <w:tr>
        <w:trPr/>
        <w:tc>
          <w:tcPr>
            <w:tcW w:w="2467"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ABL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ABL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2022 Senior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2026 Secured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Revolving Credit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SMPH Term Loan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Permian Transmission Credit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Repurchases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Tender Offers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TL Restructuring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Subsidiary Series A Preferred Units, net of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Tender Offer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units in GP Buy-In Transaction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rPr/>
      </w:pPr>
      <w:r>
        <w:rPr>
          <w:rFonts w:ascii="Times New Roman;sans-serif" w:hAnsi="Times New Roman;sans-serif"/>
          <w:b w:val="false"/>
          <w:color w:val="000000"/>
          <w:sz w:val="12"/>
        </w:rPr>
        <w:t>(1)</w:t>
      </w:r>
      <w:r>
        <w:rPr>
          <w:rFonts w:ascii="Times New Roman;sans-serif" w:hAnsi="Times New Roman;sans-serif"/>
          <w:b w:val="false"/>
          <w:color w:val="000000"/>
          <w:sz w:val="18"/>
        </w:rPr>
        <w:t>See "Liquidity and Capital Resources" herein and Note 18 - Segment Information to the consolidated financial statements for additional information on capital expenditures.</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Key Matters for the Year ended December 31, 2021.</w:t>
      </w:r>
      <w:r>
        <w:rPr>
          <w:color w:val="000000"/>
        </w:rPr>
        <w:t> </w:t>
      </w:r>
      <w:r>
        <w:rPr>
          <w:rFonts w:ascii="Times New Roman;sans-serif" w:hAnsi="Times New Roman;sans-serif"/>
          <w:b w:val="false"/>
          <w:color w:val="000000"/>
          <w:sz w:val="20"/>
        </w:rPr>
        <w:t>The following items are reflected in our financial results for the fiscal year ended December 31, 2021:</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Refinancing debt obligations with near-term maturities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On November 2, 2021, the Co-Issuers issued $700.0 million of the 2026 Secured Notes. We used the net proceeds from the offering of the 2026 Secured Notes, together with cash on hand and borrowings under the ABL Facility, to repay in full all of Summit Holdings’ obligations under the Revolving Credit Facility. Additionally, the Co-Issuers redeemed all of the outstanding 2022 Senior Notes at a redemption price equal to 100.0% of the principal amount plus accrued and unpaid interest. </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As previously disclosed, we were the subject of multiple investigations stemming from the 2015 Blacktail Release. On August 4, 2021, we entered into a Global Settlement to resolve these legal matters that includes the payment of penalties and fines of $36.3 million over six years. As a result of the settlement, we recognized an additional loss for this matter during 2021 and had $33.2 million accrued for this matter as of December 31, 2021. See Note 10 - Commitments and Contingencies to the consolidated financial statements and Item 3. Legal Proceedings for additional information.</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April 2021 Series A Preferred Unit Exchange.</w:t>
      </w:r>
      <w:r>
        <w:rPr>
          <w:color w:val="000000"/>
        </w:rPr>
        <w:t xml:space="preserve"> </w:t>
      </w:r>
      <w:r>
        <w:rPr>
          <w:rFonts w:ascii="Times New Roman;sans-serif" w:hAnsi="Times New Roman;sans-serif"/>
          <w:b w:val="false"/>
          <w:color w:val="000000"/>
          <w:sz w:val="20"/>
        </w:rPr>
        <w:t>In April 2021, the Partnership completed the 2021 Preferred Exchange Offer, whereby it issued 538,715 common units, net of units withheld for withholding taxes, in exchange for 18,662 Series A Preferred Units. Upon settlement of the 2021 Preferred Exchange Offer, the Partnership eliminated $20.7 million of the Series A Preferred Unit liquidation preference amount, inclusive of $2.5 million of accrued distributions due as of the settlement date. See Note 12 – Partners' Capital and Mezzanine Capital for additional information.</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 xml:space="preserve">Double E Project. </w:t>
      </w:r>
      <w:r>
        <w:rPr>
          <w:rFonts w:ascii="Times New Roman;sans-serif" w:hAnsi="Times New Roman;sans-serif"/>
          <w:b w:val="false"/>
          <w:color w:val="000000"/>
          <w:sz w:val="20"/>
        </w:rPr>
        <w:t xml:space="preserve">In November 2021, the Partnership placed the Double E Pipeline in service and began recognizing revenue. As a result, our investment in Double E recognized positive equity in earnings from Double E beginning in the quarter ended December 31, 2021. Capital contributions to Double E in 2021 totaled $148.7 million and were funded primarily from our new Permian Transmission Credit Facility and cash on hand. </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 xml:space="preserve">Loss on ECP Warrants. </w:t>
      </w:r>
      <w:r>
        <w:rPr>
          <w:rFonts w:ascii="Times New Roman;sans-serif" w:hAnsi="Times New Roman;sans-serif"/>
          <w:b w:val="false"/>
          <w:color w:val="000000"/>
          <w:sz w:val="20"/>
        </w:rPr>
        <w:t xml:space="preserve">On August 5, 2021, the ECP Entities cashlessly exercised all of their ECP Warrants for an aggregate of 414,447 SMLP common units, net of the exercise price, as calculated pursuant to Section 3(c) of the ECP Warrants (the “ECP Warrant Exercise"). During the year ended December 31, 2021, the Partnership recognized a $13.6 million non-cash loss related to the ECP Warrants.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in January 2022, the Partnership completed the 2022 Preferred Exchange Offer, whereby it issued 2,853,875 SMLP common units, net of units withheld for withholding taxes, in exchange for 77,939 Series A Preferred Units. Upon settlement of the 2022 Preferred Exchange Offer, the Partnership eliminated $92.6 million of the Series A Preferred Unit liquidation preference amount, inclusive of accrued distributions due as of the settlement date.</w:t>
      </w:r>
    </w:p>
    <w:p>
      <w:pPr>
        <w:pStyle w:val="TextBody"/>
        <w:spacing w:lineRule="auto" w:line="288" w:before="120" w:after="283"/>
        <w:rPr/>
      </w:pPr>
      <w:r>
        <w:rPr>
          <w:rFonts w:ascii="Times New Roman;sans-serif" w:hAnsi="Times New Roman;sans-serif"/>
          <w:b/>
          <w:i/>
          <w:color w:val="000000"/>
          <w:sz w:val="20"/>
        </w:rPr>
        <w:t>Key Matters for the Year ended December 31, 2020.</w:t>
      </w:r>
      <w:r>
        <w:rPr>
          <w:color w:val="000000"/>
        </w:rPr>
        <w:t> </w:t>
      </w:r>
      <w:r>
        <w:rPr>
          <w:rFonts w:ascii="Times New Roman;sans-serif" w:hAnsi="Times New Roman;sans-serif"/>
          <w:b w:val="false"/>
          <w:color w:val="000000"/>
          <w:sz w:val="20"/>
        </w:rPr>
        <w:t>The following items are reflected in our financial results for the fiscal year ended 2020:</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GP Buy-In Transaction.</w:t>
      </w:r>
      <w:r>
        <w:rPr>
          <w:color w:val="000000"/>
        </w:rPr>
        <w:t> </w:t>
      </w:r>
      <w:r>
        <w:rPr>
          <w:rFonts w:ascii="Times New Roman;sans-serif" w:hAnsi="Times New Roman;sans-serif"/>
          <w:b w:val="false"/>
          <w:color w:val="000000"/>
          <w:sz w:val="20"/>
        </w:rPr>
        <w:t>In May 2020, the Partnership completed the GP Buy-In Transaction whereby the Partnership acquired from its then private equity sponsor, ECP, (i) Summit Investments, which indirectly owned the Partnership’s General Partner, (ii) through its ownership of SMP Holdings, 3,415,646 of its common units and (iii) a deferred purchase price obligation receivable owed by the Partnership. Consideration paid to ECP included a $35.0 million cash payment and warrants to purchase up to 666,667 common units. In connection with the closing of the GP Buy-In Transaction, ECP’s management resigned from the Board of Directors and fully exited its investment in the Partnership (other than retaining the aforementioned warrants). Refer to Note 1 – Organization, Business Operations and Presentation and Consolidation for details.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Suspension of common and preferred unit distributions.</w:t>
      </w:r>
      <w:r>
        <w:rPr>
          <w:color w:val="000000"/>
        </w:rPr>
        <w:t xml:space="preserve"> </w:t>
      </w:r>
      <w:r>
        <w:rPr>
          <w:rFonts w:ascii="Times New Roman;sans-serif" w:hAnsi="Times New Roman;sans-serif"/>
          <w:b w:val="false"/>
          <w:color w:val="000000"/>
          <w:sz w:val="20"/>
        </w:rPr>
        <w:t>In May 2020, and in conjunction with the GP Buy-In Transaction, the Partnership suspended distributions to holders of its common units and its Series A Preferred Units, commencing with respect to the quarter ending March 31, 2020. The suspension of distributions enabled the Partnership to retain an incremental $76.0 million per annum of operating cash flow and reallocate this retained cash to indebtedness reduction, liability management transactions and other corporate initiatives. The unpaid cash distributions on the Series A Preferred Units continue to accrue semi-annually, until paid.</w:t>
      </w:r>
    </w:p>
    <w:p>
      <w:pPr>
        <w:pStyle w:val="TextBody"/>
        <w:spacing w:before="120" w:after="283"/>
        <w:ind w:left="0" w:right="0" w:hanging="36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July 2020 Series A Preferred Unit Exchang</w:t>
      </w:r>
      <w:r>
        <w:rPr>
          <w:rFonts w:ascii="Times New Roman;sans-serif" w:hAnsi="Times New Roman;sans-serif"/>
          <w:b w:val="false"/>
          <w:color w:val="000000"/>
          <w:sz w:val="20"/>
        </w:rPr>
        <w:t>e. In July 2020, the Partnership completed an offer to exchange its Series A Preferred Units for newly issued common units (the “2020 Preferred Exchange Offer”), whereby it issued 837,547 common units in exchange for 62,816 Series A Preferred Units. Upon closing the 2020 Preferred Exchange Offer, it eliminated $66.5 million of the Series A Preferred Unit liquidation preference amount, inclusive of $3.7 million of accrued distributions due as of the settlement date.</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Open Market Repurchase of Senior Notes.</w:t>
      </w:r>
      <w:r>
        <w:rPr>
          <w:color w:val="000000"/>
        </w:rPr>
        <w:t> </w:t>
      </w:r>
      <w:r>
        <w:rPr>
          <w:rFonts w:ascii="Times New Roman;sans-serif" w:hAnsi="Times New Roman;sans-serif"/>
          <w:b w:val="false"/>
          <w:color w:val="000000"/>
          <w:sz w:val="20"/>
        </w:rPr>
        <w:t>Throughout 2020, the Partnership completed multiple open market repurchases of the 2022 Senior Notes and the 2025 Senior Notes (the “Open Market Repurchases”), which resulted in the extinguishment of $32.4 million of face value of the 2022 Senior Notes and $201.8 million of face value of the 2025 Senior Notes. Total cash consideration paid to repurchase the principal amounts outstanding of the 2022 Senior Notes and 2025 Senior Notes, plus accrued interest totaled $150.3 million and the Partnership recognized an $86.4 million gain on the extinguishment of debt related to these Open Market Repurchases during 2020.</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Debt Tender Offers.</w:t>
      </w:r>
      <w:r>
        <w:rPr>
          <w:color w:val="000000"/>
        </w:rPr>
        <w:t> </w:t>
      </w:r>
      <w:r>
        <w:rPr>
          <w:rFonts w:ascii="Times New Roman;sans-serif" w:hAnsi="Times New Roman;sans-serif"/>
          <w:b w:val="false"/>
          <w:color w:val="000000"/>
          <w:sz w:val="20"/>
        </w:rPr>
        <w:t>In September 2020, the Co-Issuers completed the cash tender offers (the “Debt Tender Offers”) to purchase a portion of their 2022 Senior Notes and 2025 Senior Notes. Upon completion of the Debt Tender Offers, the Co-Issuers repurchased $33.5 million principal amount of the 2022 Senior Notes and $38.7 million principal amount of the 2025 Senior Notes. Total cash consideration paid to repurchase the principal amounts outstanding of the 2022 and 2025 Senior Notes, plus accrued interest, totaled $48.7 million, and the Partnership recognized a $23.3 million gain on the extinguishment of debt related to the Debt Tender Offers during 2020.</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TL Restructuring.</w:t>
      </w:r>
      <w:r>
        <w:rPr>
          <w:color w:val="000000"/>
        </w:rPr>
        <w:t> </w:t>
      </w:r>
      <w:r>
        <w:rPr>
          <w:rFonts w:ascii="Times New Roman;sans-serif" w:hAnsi="Times New Roman;sans-serif"/>
          <w:b w:val="false"/>
          <w:color w:val="000000"/>
          <w:sz w:val="20"/>
        </w:rPr>
        <w:t>In November 2020, the Partnership completed the consensual debt discharge and restructuring (the “TL Restructuring”) of SMP Holdings’ $155.2 million term loan (the “SMPH Term Loan”). As part of the TL Restructuring, the Partnership paid SMP Holdings $26.5 million in cash as consideration to fully settle the deferred purchase price obligation, which SMP Holdings then paid to the lenders under the SMPH Term Loan (the “Term Loan Lenders”). In addition, the Term Loan Lenders executed a strict foreclosure on the 2,306,972 common units pledged as collateral under the SMPH Term Loan in full satisfaction of SMP Holdings’ outstanding obligations under the SMPH Term Loan.</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December 2020 Series A Preferred Unit Tender.</w:t>
      </w:r>
      <w:r>
        <w:rPr>
          <w:color w:val="000000"/>
        </w:rPr>
        <w:t> </w:t>
      </w:r>
      <w:r>
        <w:rPr>
          <w:rFonts w:ascii="Times New Roman;sans-serif" w:hAnsi="Times New Roman;sans-serif"/>
          <w:b w:val="false"/>
          <w:color w:val="000000"/>
          <w:sz w:val="20"/>
        </w:rPr>
        <w:t>On December 29, 2020, the Partnership completed a cash tender offer for its Series A Preferred Units (the “Preferred Tender Offer”), whereby it accepted 75,075 Series A Preferred Units for a purchase price of $333.00 per Series A Preferred Unit and an aggregate purchase price of $25.0 million. Upon closing the Preferred Tender Offer, it eliminated $82.7 million of the Series A Preferred Unit liquidation preference due as of the settlement date, inclusive of $7.6 million of accrued distributions.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Double E Project.</w:t>
      </w:r>
      <w:r>
        <w:rPr>
          <w:color w:val="000000"/>
        </w:rPr>
        <w:t> </w:t>
      </w:r>
      <w:r>
        <w:rPr>
          <w:rFonts w:ascii="Times New Roman;sans-serif" w:hAnsi="Times New Roman;sans-serif"/>
          <w:b w:val="false"/>
          <w:color w:val="000000"/>
          <w:sz w:val="20"/>
        </w:rPr>
        <w:t>For the year ended December 2020, the Partnership’s proportionate share of capital calls due in 2020 totaled $99.9 million, which includes $2.7 million in capitalized interest, and was funded with $20.6 million of Partnership generated funds and the issuance of $85.3 million of Subsidiary Series A Preferred Units.</w:t>
      </w:r>
    </w:p>
    <w:p>
      <w:pPr>
        <w:pStyle w:val="TextBody"/>
        <w:spacing w:lineRule="auto" w:line="288" w:before="120" w:after="283"/>
        <w:ind w:left="0" w:right="0" w:hanging="720"/>
        <w:rPr/>
      </w:pPr>
      <w:r>
        <w:rPr>
          <w:color w:val="000000"/>
        </w:rPr>
        <w:t>•</w:t>
      </w:r>
      <w:r>
        <w:rPr>
          <w:rFonts w:ascii="Times New Roman;sans-serif" w:hAnsi="Times New Roman;sans-serif"/>
          <w:b/>
          <w:i/>
          <w:color w:val="000000"/>
          <w:sz w:val="20"/>
        </w:rPr>
        <w:t>2020 Restructuring Costs.</w:t>
      </w:r>
      <w:r>
        <w:rPr>
          <w:color w:val="000000"/>
        </w:rPr>
        <w:t> </w:t>
      </w:r>
      <w:r>
        <w:rPr>
          <w:rFonts w:ascii="Times New Roman;sans-serif" w:hAnsi="Times New Roman;sans-serif"/>
          <w:b w:val="false"/>
          <w:color w:val="000000"/>
          <w:sz w:val="20"/>
        </w:rPr>
        <w:t>In the fourth quarter of 2020, we completed an internal initiative to evaluate and transform our cost structure, enhance margins and improve our competitive position in response to COVID-19 and the related weakening of the economy. For the year ended December 31, 2020, we incurred approximately $5.6 million in restructuring costs relating to this initiative (included in general and administrative expense).</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Ongoing impact of the COVID-19 pandemic and fluctuations in demand for oil and natural gas;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Natural gas, NGL and crude oil supply and demand dynamics;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Production from U.S. shale plays;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Capital markets availability and cost of capital;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Inflation and shifts in operating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pStyle w:val="TextBody"/>
        <w:spacing w:lineRule="auto" w:line="288" w:before="120" w:after="283"/>
        <w:rPr/>
      </w:pPr>
      <w:r>
        <w:rPr>
          <w:rFonts w:ascii="Times New Roman;sans-serif" w:hAnsi="Times New Roman;sans-serif"/>
          <w:b/>
          <w:i/>
          <w:color w:val="000000"/>
          <w:sz w:val="20"/>
        </w:rPr>
        <w:t>Ongoing impact of the COVID-19 pandemic and fluctuations in demand for oil and natural gas. </w:t>
      </w:r>
      <w:r>
        <w:rPr>
          <w:rFonts w:ascii="Times New Roman;sans-serif" w:hAnsi="Times New Roman;sans-serif"/>
          <w:b w:val="false"/>
          <w:color w:val="000000"/>
          <w:sz w:val="20"/>
        </w:rPr>
        <w:t>We continue to closely monitor the impact of the COVID-19 pandemic, including its variants, on all aspects of our business, including how it has impacted and will impact our customers, employees, supply chain and distribution network. We are unable to predict the ultimate impact that COVID-19, its variants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COVID-19 pandemic, we have modified our business practices, including restricting employee travel, utilizing COVID-19 pandemic tax relief (as allowed by the ERC Tax Credit), modifying employee work locations, implementing social distancing and enhancing sanitary measures in our facilities. Many of our suppliers, vendors and service providers have made similar modifications.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the COVID-19 pandemic, we experienced oil and natural gas price volatility during 2021, largely due to supply and demand imbalances resulting from lower development activity decisions by our customers, actions by members of OPEC and other foreign, oil-exporting countries. This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collaborated extensively with our customer base regarding impacts to their drilling and completion activities in light of the COVID-19 pandemic. Based on recently updated production forecasts and 2022 development plans from our customers, we currently expect that 2022 activity will be lower than historical periods prior to COVID-19.</w:t>
      </w:r>
    </w:p>
    <w:p>
      <w:pPr>
        <w:pStyle w:val="TextBody"/>
        <w:spacing w:lineRule="auto" w:line="288" w:before="120" w:after="283"/>
        <w:rPr/>
      </w:pPr>
      <w:r>
        <w:rPr>
          <w:rFonts w:ascii="Times New Roman;sans-serif" w:hAnsi="Times New Roman;sans-serif"/>
          <w:b/>
          <w:i/>
          <w:color w:val="000000"/>
          <w:sz w:val="20"/>
        </w:rPr>
        <w:t>Natural gas, NGL and crude oil supply and demand dynamics. </w:t>
      </w:r>
      <w:r>
        <w:rPr>
          <w:rFonts w:ascii="Times New Roman;sans-serif" w:hAnsi="Times New Roman;sans-serif"/>
          <w:b w:val="false"/>
          <w:color w:val="000000"/>
          <w:sz w:val="20"/>
        </w:rPr>
        <w:t>Natural gas continues to be a critical component of energy supply and demand in the United States. The average spot price of natural gas increased by approximately 92% from 2020 to 2021, primarily due to natural gas demand exceeding supply. The average daily Henry Hub Natural Gas Spot Price was $3.89 per MMBtu during 2021, compared with $2.03 per MMBtu during 2020. Henry Hub closed at $3.82 per MMBtu on December 31, 2021. As of January 31, 2022, Henry Hub 12-month strip pricing closed at $4.81 per MMBtu. Natural gas prices continue to trade at higher-than-average historical prices due in part to strong power sector demand and relatively modest new production growth. In response to the increasing natural gas prices, the number of active natural gas drilling rigs in the continental United States increased from 83 in December 2020 to 106 in December 2021, but still remains well below the 2017 through 2019 average of 177, according to Baker Hughes. The average amount of working natural gas in underground storage in the continental U.S. was 2.7 Tcfe in 2021, which was 11% lower than in 2020.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gathering systems are directly affected by crude oil supply and demand dynamics. Crude oil prices increased in 2021, with the average daily Cushing, Oklahoma West Texas Intermediate crude oil spot price average of $39.16 per barrel during 2020 to an average of $68.14 per barrel during 2021, representing a 74% increase, reflecting broader market concerns for global oil supply and demand dynamics. In response to the increasing crude oil prices, the number of active crude oil drilling rigs in the continental United States increased from 267 in December 2020 to 480 in December 2021, but still remains well below the 2017 through 2019 average of 773, according to Baker Hughes. Over the next several years, we expect that crude oil prices will support continued drilling activity and increasing production in the Williston Basin, Permian Basin and, given the current regulatory environment in Colorado, in rural parts of the DJ Basin.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spacing w:lineRule="auto" w:line="288" w:before="120" w:after="283"/>
        <w:rPr/>
      </w:pPr>
      <w:r>
        <w:rPr>
          <w:rFonts w:ascii="Times New Roman;sans-serif" w:hAnsi="Times New Roman;sans-serif"/>
          <w:b/>
          <w:i/>
          <w:color w:val="000000"/>
          <w:sz w:val="20"/>
        </w:rPr>
        <w:t>Growth in production from U.S. shale plays.</w:t>
      </w:r>
      <w:r>
        <w:rPr>
          <w:color w:val="000000"/>
        </w:rPr>
        <w:t> </w:t>
      </w:r>
      <w:r>
        <w:rPr>
          <w:rFonts w:ascii="Times New Roman;sans-serif" w:hAnsi="Times New Roman;sans-serif"/>
          <w:b w:val="false"/>
          <w:color w:val="000000"/>
          <w:sz w:val="20"/>
        </w:rPr>
        <w:t xml:space="preserve">Over the past several years, natural gas production from unconventional shale resources has increased significantly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Marcellus, Utica and Permian Basin shale plays in which we operate. We believe that these long-term capital investments should support drilling activity in unconventional shale plays over the long term. </w:t>
      </w:r>
    </w:p>
    <w:p>
      <w:pPr>
        <w:pStyle w:val="TextBody"/>
        <w:spacing w:lineRule="auto" w:line="288" w:before="120" w:after="283"/>
        <w:rPr/>
      </w:pPr>
      <w:r>
        <w:rPr>
          <w:rFonts w:ascii="Times New Roman;sans-serif" w:hAnsi="Times New Roman;sans-serif"/>
          <w:b/>
          <w:i/>
          <w:color w:val="000000"/>
          <w:sz w:val="20"/>
        </w:rPr>
        <w:t>Rate of growth in production from U.S. shale plays. </w:t>
      </w:r>
      <w:r>
        <w:rPr>
          <w:rFonts w:ascii="Times New Roman;sans-serif" w:hAnsi="Times New Roman;sans-serif"/>
          <w:b w:val="false"/>
          <w:color w:val="000000"/>
          <w:sz w:val="20"/>
        </w:rPr>
        <w:t>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 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pStyle w:val="TextBody"/>
        <w:spacing w:lineRule="auto" w:line="288" w:before="120" w:after="283"/>
        <w:rPr/>
      </w:pPr>
      <w:r>
        <w:rPr>
          <w:rFonts w:ascii="Times New Roman;sans-serif" w:hAnsi="Times New Roman;sans-serif"/>
          <w:b/>
          <w:i/>
          <w:color w:val="000000"/>
          <w:sz w:val="20"/>
        </w:rPr>
        <w:t>Capital markets availability and cost of capital.</w:t>
      </w:r>
      <w:r>
        <w:rPr>
          <w:color w:val="000000"/>
        </w:rPr>
        <w:t> </w:t>
      </w:r>
      <w:r>
        <w:rPr>
          <w:rFonts w:ascii="Times New Roman;sans-serif" w:hAnsi="Times New Roman;sans-serif"/>
          <w:b w:val="false"/>
          <w:color w:val="000000"/>
          <w:sz w:val="20"/>
        </w:rPr>
        <w:t>Capital markets conditions, including but not limited to availability and higher borrowing costs, could affect our ability to access the debt and equity capital markets to the extent necessary, to fund our future growth. Furthermore, market demand for equity issued by master limited partnerships has been significantly lower in recent years than it has been historically, which may make it more challenging for us to finance our capital expenditures with the issuance of additional equity. We announced the elimination of our common unit distribution in May 2020 beginning with the distribution paid in respect of the first quarter of 2020, and this action may further reduce demand for our common units. In addition, interest rates on future credit facilities and debt offerings could be higher than current levels, causing our financing costs to increase accordingly.</w:t>
      </w:r>
    </w:p>
    <w:p>
      <w:pPr>
        <w:pStyle w:val="TextBody"/>
        <w:spacing w:lineRule="auto" w:line="288" w:before="120" w:after="283"/>
        <w:rPr/>
      </w:pPr>
      <w:r>
        <w:rPr>
          <w:rFonts w:ascii="Times New Roman;sans-serif" w:hAnsi="Times New Roman;sans-serif"/>
          <w:b/>
          <w:i/>
          <w:color w:val="000000"/>
          <w:sz w:val="20"/>
        </w:rPr>
        <w:t>Inflation and operating costs.</w:t>
      </w:r>
      <w:r>
        <w:rPr>
          <w:color w:val="000000"/>
        </w:rPr>
        <w:t> </w:t>
      </w:r>
      <w:r>
        <w:rPr>
          <w:rFonts w:ascii="Times New Roman;sans-serif" w:hAnsi="Times New Roman;sans-serif"/>
          <w:b w:val="false"/>
          <w:color w:val="000000"/>
          <w:sz w:val="20"/>
        </w:rPr>
        <w:t>The annual rate of inflation in the United States hit 7.5% in January 2022, the highest in more than three decades, as measured by the Consumer Price Index. We expect that inflation in 2022 will increase our operating costs and the overall cost of capital projects we undertake.</w:t>
      </w:r>
      <w:r>
        <w:rPr>
          <w:color w:val="000000"/>
        </w:rPr>
        <w:t xml:space="preserve"> </w:t>
      </w:r>
      <w:r>
        <w:rPr>
          <w:rFonts w:ascii="Times New Roman;sans-serif" w:hAnsi="Times New Roman;sans-serif"/>
          <w:b w:val="false"/>
          <w:color w:val="000000"/>
          <w:sz w:val="20"/>
        </w:rPr>
        <w:t xml:space="preserve">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How We Evaluate Our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18 -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Throughput Volume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successful drilling activity within our AMIs;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level of work-overs and recompletions of wells on existing pad sites to which our gathering systems are connected;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number of new pad sites in our AMIs awaiting connections;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compete for volumes from successful new wells in the areas in which we operate outside of our existing AMIs;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ability to gather, treat and/or process production that has been released from commitments with our competitors.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report volumes gathered for natural gas in cubic feet per day. We aggregate crude oil and produced water gathering and report volumes gathered in barrels per day.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primarily attributable to the volumes that we gather, compress, treat and/or process and the rates we charge for those services. A majority of our gathering and processing agreements are fee-based, which limits our direct exposure to fluctuations in commodity prices; however, certain of our contracts have rates that are directly impacted by commodity prices. We also have percent-of-proceeds arrangements with certain customers under which the gathering and processing revenues that we earn correlate directly with the fluctuating price of natural gas, condensate and NGLs.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Operation and Maintenance Expenses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Segment Adjusted EBITDA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Segment adjusted EBITDA is a supplemental financial measure used by management and by external users of our financial statements such as investors, commercial banks, research analysts and others.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Segment adjusted EBITDA is used to assess: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ability of our assets to generate cash sufficient to make cash distributions and support our indebtedness;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financial performance of our assets without regard to financing methods, capital structure or historical cost basis;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our operating performance and return on capital as compared to other companies in the midstream energy sector, without regard to financing or capital structure;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attractiveness of capital projects and acquisitions and the overall rates of return on alternative investment opportunities;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financial performance of our assets without regard to (i) income or loss from equity method investees, (ii) the impact of the timing of MVC shortfall payments under our gathering agreements or (iii) the timing of impairments or other noncash income or expense items.</w:t>
      </w:r>
    </w:p>
    <w:p>
      <w:pPr>
        <w:pStyle w:val="TextBody"/>
        <w:spacing w:lineRule="auto" w:line="288" w:before="120" w:after="283"/>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 xml:space="preserve">For additional information, see the “Results of Operations” section herein and the notes to the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Consolidated Overview for the Years Ended December 31, 2021 and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data and volume throughput for the years ended December 31, 2021 and 2020.</w:t>
      </w:r>
    </w:p>
    <w:tbl>
      <w:tblPr>
        <w:tblW w:w="10205" w:type="dxa"/>
        <w:jc w:val="left"/>
        <w:tblInd w:w="0" w:type="dxa"/>
        <w:tblCellMar>
          <w:top w:w="28" w:type="dxa"/>
          <w:left w:w="28" w:type="dxa"/>
          <w:bottom w:w="28" w:type="dxa"/>
          <w:right w:w="28" w:type="dxa"/>
        </w:tblCellMar>
      </w:tblPr>
      <w:tblGrid>
        <w:gridCol w:w="2107"/>
        <w:gridCol w:w="1828"/>
        <w:gridCol w:w="1838"/>
        <w:gridCol w:w="211"/>
        <w:gridCol w:w="826"/>
        <w:gridCol w:w="109"/>
        <w:gridCol w:w="109"/>
        <w:gridCol w:w="109"/>
        <w:gridCol w:w="109"/>
        <w:gridCol w:w="211"/>
        <w:gridCol w:w="826"/>
        <w:gridCol w:w="109"/>
        <w:gridCol w:w="109"/>
        <w:gridCol w:w="109"/>
        <w:gridCol w:w="109"/>
        <w:gridCol w:w="434"/>
        <w:gridCol w:w="434"/>
        <w:gridCol w:w="618"/>
      </w:tblGrid>
      <w:tr>
        <w:trPr/>
        <w:tc>
          <w:tcPr>
            <w:tcW w:w="2107"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5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5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ECP Warrants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77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Excludes volume throughput for Ohio Gathering and Double E. For additional information, see the Northeast and Permian sections herein under the caption “Segment Overview for the Years Ended December 31, 2021 and 2020”.</w:t>
      </w:r>
    </w:p>
    <w:p>
      <w:pPr>
        <w:pStyle w:val="TextBody"/>
        <w:spacing w:lineRule="auto" w:line="288" w:before="120" w:after="283"/>
        <w:rPr/>
      </w:pPr>
      <w:r>
        <w:rPr>
          <w:rFonts w:ascii="Times New Roman;sans-serif" w:hAnsi="Times New Roman;sans-serif"/>
          <w:b/>
          <w:i/>
          <w:color w:val="000000"/>
          <w:sz w:val="20"/>
        </w:rPr>
        <w:t>Volumes – Gas.</w:t>
      </w:r>
      <w:r>
        <w:rPr>
          <w:color w:val="000000"/>
        </w:rPr>
        <w:t> </w:t>
      </w:r>
      <w:r>
        <w:rPr>
          <w:rFonts w:ascii="Times New Roman;sans-serif" w:hAnsi="Times New Roman;sans-serif"/>
          <w:b w:val="false"/>
          <w:color w:val="000000"/>
          <w:sz w:val="20"/>
        </w:rPr>
        <w:t>Natural gas throughput volumes decreased 19 MMcf/d for the year ended December 31, 2021 compared to the year ended December 31, 2020, primarily reflecting: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volume throughput increase of 39 MMcf/d for the Northeast segment.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volume throughput decrease of 38 MMcf/d for the Piceance segment.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volume throughput decrease of 7 MMcf/d for the Permian segment.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volume throughput decrease of 8 MMcf/d for the Barnett segment.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volume throughput decrease of 5 MMcf/d for the Rockies segment.</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Volumes – Liquids.</w:t>
      </w:r>
      <w:r>
        <w:rPr>
          <w:color w:val="000000"/>
        </w:rPr>
        <w:t> </w:t>
      </w:r>
      <w:r>
        <w:rPr>
          <w:rFonts w:ascii="Times New Roman;sans-serif" w:hAnsi="Times New Roman;sans-serif"/>
          <w:b w:val="false"/>
          <w:color w:val="000000"/>
          <w:sz w:val="20"/>
        </w:rPr>
        <w:t>Crude oil and produced water volume throughput for the Rockies segment decreased 16 Mbbl/d for the year ended December 31, 2021 compared to the year ended December 31,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Years Ended December 31, 2021 and 2020” section herein.</w:t>
      </w:r>
    </w:p>
    <w:p>
      <w:pPr>
        <w:pStyle w:val="TextBody"/>
        <w:spacing w:lineRule="auto" w:line="288" w:before="120" w:after="283"/>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$17.1 million during the year ended December 31, 2021 compared to the year ended December 31, 2020, comprised of a $33.4 million increase in natural gas, NGLs and condensate sales and a $4.8 million increase in Other revenues, offset by a $21.1 million decrease in gathering services and related fees.</w:t>
      </w:r>
    </w:p>
    <w:p>
      <w:pPr>
        <w:pStyle w:val="TextBody"/>
        <w:spacing w:lineRule="auto" w:line="288" w:before="120" w:after="283"/>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$21.1 million compared to the year ended December 31, 2020, primarily reflecting: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$11.4 million decrease in gathering services and related fees in the Piceance, primarily due to lower volume throughput due to a lack of drilling and completion activity and natural production declines;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an $8.3 million decrease in gathering services and related fees in the Rockies, primarily due to lower volume throughput as a result of limited drilling and completion activity that was insufficient to offset natural production declines. </w:t>
      </w:r>
    </w:p>
    <w:p>
      <w:pPr>
        <w:pStyle w:val="TextBody"/>
        <w:spacing w:lineRule="auto" w:line="288" w:before="120" w:after="283"/>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sales revenue increased $33.4 million compared to the year ended December 31, 2020, primarily reflecting: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a $28.0 million increase in the Rockies reportable segment; </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$9.9 million increase in the Permian reportable segment;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$2.9 million increase in the Piceance reportable segment; partially offset by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$7.3 million decrease in the Barnett reportable segment.</w:t>
      </w:r>
    </w:p>
    <w:p>
      <w:pPr>
        <w:pStyle w:val="TextBody"/>
        <w:spacing w:lineRule="auto" w:line="288" w:before="120" w:after="283"/>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$14.8 million during the year ended December 31, 2021 compared to the year ended December 31, 2020, primarily reflecting:</w:t>
      </w:r>
    </w:p>
    <w:p>
      <w:pPr>
        <w:pStyle w:val="TextBody"/>
        <w:spacing w:lineRule="auto" w:line="288" w:before="120" w:after="283"/>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$45.3 million during the year ended December 31, 2021 compared to the year ended December 31, 2020, primarily driven by higher natural gas, NGL and crude oil prices.</w:t>
      </w:r>
    </w:p>
    <w:p>
      <w:pPr>
        <w:pStyle w:val="TextBody"/>
        <w:spacing w:lineRule="auto" w:line="288" w:before="120" w:after="283"/>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decreased $11.9 million for the year ended December 31, 2021 compared to the year ended December 31, 2020; primarily driven by reduced employee headcount as a result of restructuring activities implemented in the fourth quarter of 2020. The Partnership realized $10.2 million of benefits during the year ended December 31, 2021, that are not otherwise expected to occur in 2022 and future periods, as a result of commercial settlements and the ERC Tax Credit.</w:t>
      </w:r>
    </w:p>
    <w:p>
      <w:pPr>
        <w:pStyle w:val="TextBody"/>
        <w:spacing w:lineRule="auto" w:line="288" w:before="120" w:after="283"/>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decreased $15.3 million for the year ended December 31, 2021 compared to the year ended December 31, 2020, primarily due to a decrease in salaries and benefits associated with lower headcount from our workforce restructuring in late 2020 (the "2020 Restructuring Plan") and lower legal expenses. General and administrative expense includes a loss related to the 2015 Blacktail Release of $22.4 million and $17.0 million during the fiscal years ended December 31, 2021 and 2020, respectively (see Note 10 - Commitments and Contingencies for additional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realized $1.0 million of ERC Tax Credit benefits during the year ended December 31, 2021, that are not otherwise expected to occur in future periods.</w:t>
      </w:r>
    </w:p>
    <w:p>
      <w:pPr>
        <w:pStyle w:val="TextBody"/>
        <w:spacing w:lineRule="auto" w:line="288" w:before="120" w:after="283"/>
        <w:rPr/>
      </w:pPr>
      <w:r>
        <w:rPr>
          <w:rFonts w:ascii="Times New Roman;sans-serif" w:hAnsi="Times New Roman;sans-serif"/>
          <w:b w:val="false"/>
          <w:color w:val="000000"/>
          <w:sz w:val="20"/>
          <w:u w:val="single"/>
        </w:rPr>
        <w:t>Loss on ECP Warrants</w:t>
      </w:r>
      <w:r>
        <w:rPr>
          <w:rFonts w:ascii="Times New Roman;sans-serif" w:hAnsi="Times New Roman;sans-serif"/>
          <w:b w:val="false"/>
          <w:color w:val="000000"/>
          <w:sz w:val="20"/>
        </w:rPr>
        <w:t>. On August 5, 2021, the ECP Entities cashlessly exercised all of its ECP Warrants for an aggregate of 414,447 SMLP common units, net of the exercise price.</w:t>
      </w:r>
      <w:r>
        <w:rPr>
          <w:color w:val="000000"/>
        </w:rPr>
        <w:t xml:space="preserve"> </w:t>
      </w:r>
      <w:r>
        <w:rPr>
          <w:rFonts w:ascii="Times New Roman;sans-serif" w:hAnsi="Times New Roman;sans-serif"/>
          <w:b w:val="false"/>
          <w:color w:val="000000"/>
          <w:sz w:val="20"/>
        </w:rPr>
        <w:t>During the year ended December 31, 2021, the Partnership recognized a $13.6 million non-cash loss related to the ECP Warrants.</w:t>
      </w:r>
      <w:r>
        <w:rPr>
          <w:color w:val="000000"/>
        </w:rPr>
        <w:t xml:space="preserve"> </w:t>
      </w:r>
    </w:p>
    <w:p>
      <w:pPr>
        <w:pStyle w:val="TextBody"/>
        <w:spacing w:lineRule="auto" w:line="288" w:before="120" w:after="283"/>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The decrease in interest expense in the year ended December 31, 2021 compared to the year ended December 31, 2020, was primarily due to lower debt balances as a result of our liability management initiatives completed during 2020 which included (i) the Open Market Repurchases, (ii) the Debt Tender Offers, and (iii) the TL Restructuring. The decrease in interest expense was partially offset by borrowings on the Permian Transmission Credit Facility and higher interest costs resulting from the issuance of the 2026 Secured Notes.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u w:val="single"/>
        </w:rPr>
        <w:t>Gain on early extinguishment of debt</w:t>
      </w:r>
      <w:r>
        <w:rPr>
          <w:rFonts w:ascii="Times New Roman;sans-serif" w:hAnsi="Times New Roman;sans-serif"/>
          <w:b w:val="false"/>
          <w:color w:val="000000"/>
          <w:sz w:val="20"/>
        </w:rPr>
        <w:t>. The $203.1 million gain on the early extinguishment of debt for the year ended December 31, 2020 is primarily related to liability management initiatives undertaken during 2020 that resulted in a $86.4 million gain from the Open Market Repurchases, a $23.3 million gain from the Debt Tender Offers, and a $93.9 million gain from our TL Restructuring. Further details of our liability management results are summarized below.</w:t>
      </w:r>
    </w:p>
    <w:tbl>
      <w:tblPr>
        <w:tblW w:w="10650" w:type="dxa"/>
        <w:jc w:val="left"/>
        <w:tblInd w:w="0" w:type="dxa"/>
        <w:tblCellMar>
          <w:top w:w="28" w:type="dxa"/>
          <w:left w:w="28" w:type="dxa"/>
          <w:bottom w:w="28" w:type="dxa"/>
          <w:right w:w="28" w:type="dxa"/>
        </w:tblCellMar>
      </w:tblPr>
      <w:tblGrid>
        <w:gridCol w:w="611"/>
        <w:gridCol w:w="392"/>
        <w:gridCol w:w="393"/>
        <w:gridCol w:w="245"/>
        <w:gridCol w:w="559"/>
        <w:gridCol w:w="12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25"/>
        <w:gridCol w:w="769"/>
        <w:gridCol w:w="117"/>
        <w:gridCol w:w="109"/>
        <w:gridCol w:w="109"/>
        <w:gridCol w:w="109"/>
        <w:gridCol w:w="211"/>
        <w:gridCol w:w="826"/>
        <w:gridCol w:w="154"/>
      </w:tblGrid>
      <w:tr>
        <w:trPr/>
        <w:tc>
          <w:tcPr>
            <w:tcW w:w="61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ECP Loan</w:t>
              <w:br/>
              <w:t>Repayment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Open Market</w:t>
              <w:br/>
              <w:t>Repurchases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Tender</w:t>
              <w:br/>
              <w:t>Offers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TL</w:t>
              <w:br/>
              <w:t>Restructuring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4"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Repurchases of Senior Notes and TL Restructuring</w:t>
            </w:r>
          </w:p>
        </w:tc>
        <w:tc>
          <w:tcPr>
            <w:tcW w:w="2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issue costs</w:t>
            </w:r>
          </w:p>
        </w:tc>
        <w:tc>
          <w:tcPr>
            <w:tcW w:w="8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w:t>
            </w:r>
          </w:p>
        </w:tc>
        <w:tc>
          <w:tcPr>
            <w:tcW w:w="8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debt extinguishment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Segment Overview for the Years Ended December 31, 2021 and 2020</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Northeast.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7866" w:type="dxa"/>
        <w:jc w:val="left"/>
        <w:tblInd w:w="0" w:type="dxa"/>
        <w:tblCellMar>
          <w:top w:w="28" w:type="dxa"/>
          <w:left w:w="28" w:type="dxa"/>
          <w:bottom w:w="28" w:type="dxa"/>
          <w:right w:w="28" w:type="dxa"/>
        </w:tblCellMar>
      </w:tblPr>
      <w:tblGrid>
        <w:gridCol w:w="1623"/>
        <w:gridCol w:w="1429"/>
        <w:gridCol w:w="1432"/>
        <w:gridCol w:w="284"/>
        <w:gridCol w:w="218"/>
        <w:gridCol w:w="218"/>
        <w:gridCol w:w="218"/>
        <w:gridCol w:w="218"/>
        <w:gridCol w:w="218"/>
        <w:gridCol w:w="284"/>
        <w:gridCol w:w="218"/>
        <w:gridCol w:w="218"/>
        <w:gridCol w:w="109"/>
        <w:gridCol w:w="109"/>
        <w:gridCol w:w="109"/>
        <w:gridCol w:w="281"/>
        <w:gridCol w:w="281"/>
        <w:gridCol w:w="399"/>
      </w:tblGrid>
      <w:tr>
        <w:trPr/>
        <w:tc>
          <w:tcPr>
            <w:tcW w:w="1623"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5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excluding Ohio Gathering, increased 5% compared to the year ended December 31, 2020 primarily due to 35 new well connections, partially offset by natural production declines from existing wells.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decreased 8% compared to the year ended December 31, 2020, primarily as a result of natural production declines on existing wells on the system, partially offset by 17 new well connections.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8166" w:type="dxa"/>
        <w:jc w:val="left"/>
        <w:tblInd w:w="0" w:type="dxa"/>
        <w:tblCellMar>
          <w:top w:w="28" w:type="dxa"/>
          <w:left w:w="28" w:type="dxa"/>
          <w:bottom w:w="28" w:type="dxa"/>
          <w:right w:w="28" w:type="dxa"/>
        </w:tblCellMar>
      </w:tblPr>
      <w:tblGrid>
        <w:gridCol w:w="1618"/>
        <w:gridCol w:w="1421"/>
        <w:gridCol w:w="1430"/>
        <w:gridCol w:w="211"/>
        <w:gridCol w:w="721"/>
        <w:gridCol w:w="109"/>
        <w:gridCol w:w="109"/>
        <w:gridCol w:w="109"/>
        <w:gridCol w:w="109"/>
        <w:gridCol w:w="211"/>
        <w:gridCol w:w="721"/>
        <w:gridCol w:w="109"/>
        <w:gridCol w:w="109"/>
        <w:gridCol w:w="109"/>
        <w:gridCol w:w="109"/>
        <w:gridCol w:w="281"/>
        <w:gridCol w:w="281"/>
        <w:gridCol w:w="399"/>
      </w:tblGrid>
      <w:tr>
        <w:trPr/>
        <w:tc>
          <w:tcPr>
            <w:tcW w:w="1618"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40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Ohio Gathering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120" w:after="283"/>
        <w:rPr/>
      </w:pPr>
      <w:r>
        <w:rPr>
          <w:rFonts w:ascii="Times New Roman;sans-serif" w:hAnsi="Times New Roman;sans-serif"/>
          <w:b w:val="false"/>
          <w:color w:val="000000"/>
          <w:sz w:val="20"/>
          <w:u w:val="single"/>
        </w:rPr>
        <w:t>Year ended December 31, 2021</w:t>
      </w:r>
      <w:r>
        <w:rPr>
          <w:rFonts w:ascii="Times New Roman;sans-serif" w:hAnsi="Times New Roman;sans-serif"/>
          <w:b w:val="false"/>
          <w:color w:val="000000"/>
          <w:sz w:val="20"/>
        </w:rPr>
        <w:t>. Segment adjusted EBITDA decreased $2.6 million compared to the year ended December 31, 2020, primarily due to a $4.0 million decrease in proportional adjusted EBITDA for Ohio Gathering as a result of lower volume throughput, partially offset by a $1.1 million decrease in operation and maintenance costs.</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Rockies.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8784" w:type="dxa"/>
        <w:jc w:val="left"/>
        <w:tblInd w:w="0" w:type="dxa"/>
        <w:tblCellMar>
          <w:top w:w="28" w:type="dxa"/>
          <w:left w:w="28" w:type="dxa"/>
          <w:bottom w:w="28" w:type="dxa"/>
          <w:right w:w="28" w:type="dxa"/>
        </w:tblCellMar>
      </w:tblPr>
      <w:tblGrid>
        <w:gridCol w:w="1786"/>
        <w:gridCol w:w="1572"/>
        <w:gridCol w:w="1577"/>
        <w:gridCol w:w="218"/>
        <w:gridCol w:w="218"/>
        <w:gridCol w:w="218"/>
        <w:gridCol w:w="218"/>
        <w:gridCol w:w="218"/>
        <w:gridCol w:w="218"/>
        <w:gridCol w:w="218"/>
        <w:gridCol w:w="218"/>
        <w:gridCol w:w="218"/>
        <w:gridCol w:w="109"/>
        <w:gridCol w:w="109"/>
        <w:gridCol w:w="109"/>
        <w:gridCol w:w="456"/>
        <w:gridCol w:w="456"/>
        <w:gridCol w:w="648"/>
      </w:tblGrid>
      <w:tr>
        <w:trPr/>
        <w:tc>
          <w:tcPr>
            <w:tcW w:w="1786"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4935"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65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6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654" w:type="dxa"/>
            <w:gridSpan w:val="3"/>
            <w:tcBorders/>
            <w:shd w:fill="CFF0FC"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FF0FC"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spacing w:lineRule="auto" w:line="288" w:before="120" w:after="283"/>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 2021 decreased 13% compared to the year ended December 31, 2020, primarily reflecting natural production declines, partially offset by 3 new well connections in 2021.</w:t>
      </w:r>
    </w:p>
    <w:p>
      <w:pPr>
        <w:pStyle w:val="TextBody"/>
        <w:spacing w:lineRule="auto" w:line="288" w:before="120" w:after="283"/>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Liquids volume throughput in 2021 decreased 20% compared to the year ended December 31, 2020, primarily associated with natural production declines, partially offset by 22 wells that were commissioned in 2021, of which 16 wells were connected in the fourth quarter.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7733" w:type="dxa"/>
        <w:jc w:val="left"/>
        <w:tblInd w:w="0" w:type="dxa"/>
        <w:tblCellMar>
          <w:top w:w="28" w:type="dxa"/>
          <w:left w:w="28" w:type="dxa"/>
          <w:bottom w:w="28" w:type="dxa"/>
          <w:right w:w="28" w:type="dxa"/>
        </w:tblCellMar>
      </w:tblPr>
      <w:tblGrid>
        <w:gridCol w:w="1205"/>
        <w:gridCol w:w="1059"/>
        <w:gridCol w:w="1065"/>
        <w:gridCol w:w="211"/>
        <w:gridCol w:w="721"/>
        <w:gridCol w:w="109"/>
        <w:gridCol w:w="109"/>
        <w:gridCol w:w="109"/>
        <w:gridCol w:w="109"/>
        <w:gridCol w:w="211"/>
        <w:gridCol w:w="721"/>
        <w:gridCol w:w="109"/>
        <w:gridCol w:w="109"/>
        <w:gridCol w:w="109"/>
        <w:gridCol w:w="109"/>
        <w:gridCol w:w="504"/>
        <w:gridCol w:w="504"/>
        <w:gridCol w:w="506"/>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activity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Year ended December 31, 2021</w:t>
      </w:r>
      <w:r>
        <w:rPr>
          <w:rFonts w:ascii="Times New Roman;sans-serif" w:hAnsi="Times New Roman;sans-serif"/>
          <w:b w:val="false"/>
          <w:color w:val="000000"/>
          <w:sz w:val="20"/>
        </w:rPr>
        <w:t>. Segment adjusted EBITDA decreased $7.0 million compared to the year ended December 31, 2020 primarily associated with the decreased liquid and natural gas volume throughput described above and its associated decrease in gathering services and related fees of $8.3 million. The decrease was partially offset by the decrease in operation and maintenance expense of $4.1 million and the decrease in general and administrative expense of $1.3 million, primarily due to our 2020 Restructuring Plan, cost-saving initiatives and lower general operating expenses.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Permian.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7902" w:type="dxa"/>
        <w:jc w:val="left"/>
        <w:tblInd w:w="0" w:type="dxa"/>
        <w:tblCellMar>
          <w:top w:w="28" w:type="dxa"/>
          <w:left w:w="28" w:type="dxa"/>
          <w:bottom w:w="28" w:type="dxa"/>
          <w:right w:w="28" w:type="dxa"/>
        </w:tblCellMar>
      </w:tblPr>
      <w:tblGrid>
        <w:gridCol w:w="1444"/>
        <w:gridCol w:w="1272"/>
        <w:gridCol w:w="1274"/>
        <w:gridCol w:w="281"/>
        <w:gridCol w:w="218"/>
        <w:gridCol w:w="218"/>
        <w:gridCol w:w="218"/>
        <w:gridCol w:w="218"/>
        <w:gridCol w:w="218"/>
        <w:gridCol w:w="218"/>
        <w:gridCol w:w="218"/>
        <w:gridCol w:w="218"/>
        <w:gridCol w:w="109"/>
        <w:gridCol w:w="109"/>
        <w:gridCol w:w="109"/>
        <w:gridCol w:w="456"/>
        <w:gridCol w:w="456"/>
        <w:gridCol w:w="648"/>
      </w:tblGrid>
      <w:tr>
        <w:trPr/>
        <w:tc>
          <w:tcPr>
            <w:tcW w:w="1444"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in 2021, excluding Double E, decreased 21% compared to the year ended December 31, 2020, primarily as a result of natural production declines, partially offset by 2 new connections during the year.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Double E commenced operations during November 2021 and averaged 124 MMcf per day for the period from the date of commencement in November 2021 through December 31, 2021.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7296" w:type="dxa"/>
        <w:jc w:val="left"/>
        <w:tblInd w:w="0" w:type="dxa"/>
        <w:tblCellMar>
          <w:top w:w="28" w:type="dxa"/>
          <w:left w:w="28" w:type="dxa"/>
          <w:bottom w:w="28" w:type="dxa"/>
          <w:right w:w="28" w:type="dxa"/>
        </w:tblCellMar>
      </w:tblPr>
      <w:tblGrid>
        <w:gridCol w:w="1341"/>
        <w:gridCol w:w="1178"/>
        <w:gridCol w:w="1185"/>
        <w:gridCol w:w="211"/>
        <w:gridCol w:w="616"/>
        <w:gridCol w:w="109"/>
        <w:gridCol w:w="109"/>
        <w:gridCol w:w="109"/>
        <w:gridCol w:w="109"/>
        <w:gridCol w:w="211"/>
        <w:gridCol w:w="721"/>
        <w:gridCol w:w="109"/>
        <w:gridCol w:w="109"/>
        <w:gridCol w:w="109"/>
        <w:gridCol w:w="109"/>
        <w:gridCol w:w="281"/>
        <w:gridCol w:w="281"/>
        <w:gridCol w:w="399"/>
      </w:tblGrid>
      <w:tr>
        <w:trPr/>
        <w:tc>
          <w:tcPr>
            <w:tcW w:w="134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Year ended December 31, 2021</w:t>
      </w:r>
      <w:r>
        <w:rPr>
          <w:rFonts w:ascii="Times New Roman;sans-serif" w:hAnsi="Times New Roman;sans-serif"/>
          <w:b w:val="false"/>
          <w:color w:val="000000"/>
          <w:sz w:val="20"/>
        </w:rPr>
        <w:t xml:space="preserve">. Segment adjusted EBITDA increased $0.9 million compared to the year ended December 31, 2020 primarily as a result of a $1.9 million increase in our proportionate adjusted EBITDA associated with the commencement of commercial operations of Double E in November 2021. </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Piceance.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7881" w:type="dxa"/>
        <w:jc w:val="left"/>
        <w:tblInd w:w="0" w:type="dxa"/>
        <w:tblCellMar>
          <w:top w:w="28" w:type="dxa"/>
          <w:left w:w="28" w:type="dxa"/>
          <w:bottom w:w="28" w:type="dxa"/>
          <w:right w:w="28" w:type="dxa"/>
        </w:tblCellMar>
      </w:tblPr>
      <w:tblGrid>
        <w:gridCol w:w="1412"/>
        <w:gridCol w:w="1242"/>
        <w:gridCol w:w="1246"/>
        <w:gridCol w:w="284"/>
        <w:gridCol w:w="218"/>
        <w:gridCol w:w="218"/>
        <w:gridCol w:w="218"/>
        <w:gridCol w:w="218"/>
        <w:gridCol w:w="218"/>
        <w:gridCol w:w="284"/>
        <w:gridCol w:w="218"/>
        <w:gridCol w:w="218"/>
        <w:gridCol w:w="109"/>
        <w:gridCol w:w="109"/>
        <w:gridCol w:w="109"/>
        <w:gridCol w:w="456"/>
        <w:gridCol w:w="456"/>
        <w:gridCol w:w="648"/>
      </w:tblGrid>
      <w:tr>
        <w:trPr/>
        <w:tc>
          <w:tcPr>
            <w:tcW w:w="141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10% in 2021 compared to the year ended December 31, 2020, as a result of natural production declines, partially offset by 9 new well connections in the fourth quarter of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8272" w:type="dxa"/>
        <w:jc w:val="left"/>
        <w:tblInd w:w="0" w:type="dxa"/>
        <w:tblCellMar>
          <w:top w:w="28" w:type="dxa"/>
          <w:left w:w="28" w:type="dxa"/>
          <w:bottom w:w="28" w:type="dxa"/>
          <w:right w:w="28" w:type="dxa"/>
        </w:tblCellMar>
      </w:tblPr>
      <w:tblGrid>
        <w:gridCol w:w="1618"/>
        <w:gridCol w:w="1422"/>
        <w:gridCol w:w="1430"/>
        <w:gridCol w:w="211"/>
        <w:gridCol w:w="721"/>
        <w:gridCol w:w="109"/>
        <w:gridCol w:w="109"/>
        <w:gridCol w:w="109"/>
        <w:gridCol w:w="109"/>
        <w:gridCol w:w="211"/>
        <w:gridCol w:w="826"/>
        <w:gridCol w:w="109"/>
        <w:gridCol w:w="109"/>
        <w:gridCol w:w="109"/>
        <w:gridCol w:w="109"/>
        <w:gridCol w:w="281"/>
        <w:gridCol w:w="281"/>
        <w:gridCol w:w="399"/>
      </w:tblGrid>
      <w:tr>
        <w:trPr/>
        <w:tc>
          <w:tcPr>
            <w:tcW w:w="16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Year ended December 31, 2021</w:t>
      </w:r>
      <w:r>
        <w:rPr>
          <w:rFonts w:ascii="Times New Roman;sans-serif" w:hAnsi="Times New Roman;sans-serif"/>
          <w:b w:val="false"/>
          <w:color w:val="000000"/>
          <w:sz w:val="20"/>
        </w:rPr>
        <w:t>. Segment adjusted EBITDA decreased $12.7 million compared to the year ended December 31, 2020, primarily associated with the volume throughput decrease described above and a $3.3 million decrease in shortfall payments from an MVC that expired during the third quarter of 2021, and a $1.9 million contractual decrease in demand payments from a certain customer beginning in the third quarter of 2021.</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Barnett.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7040" w:type="dxa"/>
        <w:jc w:val="left"/>
        <w:tblInd w:w="0" w:type="dxa"/>
        <w:tblCellMar>
          <w:top w:w="28" w:type="dxa"/>
          <w:left w:w="28" w:type="dxa"/>
          <w:bottom w:w="28" w:type="dxa"/>
          <w:right w:w="28" w:type="dxa"/>
        </w:tblCellMar>
      </w:tblPr>
      <w:tblGrid>
        <w:gridCol w:w="1107"/>
        <w:gridCol w:w="975"/>
        <w:gridCol w:w="977"/>
        <w:gridCol w:w="284"/>
        <w:gridCol w:w="218"/>
        <w:gridCol w:w="218"/>
        <w:gridCol w:w="218"/>
        <w:gridCol w:w="218"/>
        <w:gridCol w:w="218"/>
        <w:gridCol w:w="284"/>
        <w:gridCol w:w="218"/>
        <w:gridCol w:w="218"/>
        <w:gridCol w:w="109"/>
        <w:gridCol w:w="109"/>
        <w:gridCol w:w="109"/>
        <w:gridCol w:w="456"/>
        <w:gridCol w:w="456"/>
        <w:gridCol w:w="648"/>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Volume throughput decreased 4% in 2021 compared to the year ended December 31, 2020 reflecting natural production declines partially offset by 7 wells that were commissioned in the third quarter of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8167" w:type="dxa"/>
        <w:jc w:val="left"/>
        <w:tblInd w:w="0" w:type="dxa"/>
        <w:tblCellMar>
          <w:top w:w="28" w:type="dxa"/>
          <w:left w:w="28" w:type="dxa"/>
          <w:bottom w:w="28" w:type="dxa"/>
          <w:right w:w="28" w:type="dxa"/>
        </w:tblCellMar>
      </w:tblPr>
      <w:tblGrid>
        <w:gridCol w:w="1618"/>
        <w:gridCol w:w="1422"/>
        <w:gridCol w:w="1430"/>
        <w:gridCol w:w="211"/>
        <w:gridCol w:w="721"/>
        <w:gridCol w:w="109"/>
        <w:gridCol w:w="109"/>
        <w:gridCol w:w="109"/>
        <w:gridCol w:w="109"/>
        <w:gridCol w:w="211"/>
        <w:gridCol w:w="721"/>
        <w:gridCol w:w="109"/>
        <w:gridCol w:w="109"/>
        <w:gridCol w:w="109"/>
        <w:gridCol w:w="109"/>
        <w:gridCol w:w="281"/>
        <w:gridCol w:w="281"/>
        <w:gridCol w:w="399"/>
      </w:tblGrid>
      <w:tr>
        <w:trPr/>
        <w:tc>
          <w:tcPr>
            <w:tcW w:w="16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amortization expense associated with our favorable and unfavorable gas gathering contracts as reported in other revenues.</w:t>
      </w:r>
    </w:p>
    <w:p>
      <w:pPr>
        <w:pStyle w:val="TextBody"/>
        <w:spacing w:lineRule="auto" w:line="288" w:before="120" w:after="283"/>
        <w:rPr/>
      </w:pPr>
      <w:r>
        <w:rPr>
          <w:rFonts w:ascii="Times New Roman;sans-serif" w:hAnsi="Times New Roman;sans-serif"/>
          <w:b w:val="false"/>
          <w:color w:val="000000"/>
          <w:sz w:val="20"/>
          <w:u w:val="single"/>
        </w:rPr>
        <w:t>Year ended December 31, 2021</w:t>
      </w:r>
      <w:r>
        <w:rPr>
          <w:rFonts w:ascii="Times New Roman;sans-serif" w:hAnsi="Times New Roman;sans-serif"/>
          <w:b w:val="false"/>
          <w:color w:val="000000"/>
          <w:sz w:val="20"/>
        </w:rPr>
        <w:t>. Segment adjusted EBITDA increased $4.6 million compared to the year ended December 31, 2020 primarily as a result of lower operating expenses, namely resulting from commercial settlements, offset by lower volume throughput.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Corporate and Other Overview for the Years Ended December 31, 2021 and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interest expense and gains on early extinguishment of debt.</w:t>
      </w:r>
    </w:p>
    <w:tbl>
      <w:tblPr>
        <w:tblW w:w="6674" w:type="dxa"/>
        <w:jc w:val="left"/>
        <w:tblInd w:w="0" w:type="dxa"/>
        <w:tblCellMar>
          <w:top w:w="28" w:type="dxa"/>
          <w:left w:w="28" w:type="dxa"/>
          <w:bottom w:w="28" w:type="dxa"/>
          <w:right w:w="28" w:type="dxa"/>
        </w:tblCellMar>
      </w:tblPr>
      <w:tblGrid>
        <w:gridCol w:w="1141"/>
        <w:gridCol w:w="1002"/>
        <w:gridCol w:w="1007"/>
        <w:gridCol w:w="265"/>
        <w:gridCol w:w="456"/>
        <w:gridCol w:w="123"/>
        <w:gridCol w:w="123"/>
        <w:gridCol w:w="123"/>
        <w:gridCol w:w="123"/>
        <w:gridCol w:w="306"/>
        <w:gridCol w:w="594"/>
        <w:gridCol w:w="123"/>
        <w:gridCol w:w="109"/>
        <w:gridCol w:w="109"/>
        <w:gridCol w:w="109"/>
        <w:gridCol w:w="281"/>
        <w:gridCol w:w="281"/>
        <w:gridCol w:w="399"/>
      </w:tblGrid>
      <w:tr>
        <w:trPr/>
        <w:tc>
          <w:tcPr>
            <w:tcW w:w="114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or disposals</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extinguishment of debt</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spacing w:lineRule="auto" w:line="288" w:before="120" w:after="283"/>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 attributable to Corporate and Other decreased by $13.8 million compared to the year ended December 31, 2020, primarily as a result of increased restructuring and deal costs in 2020, as well as a decrease in salaries and benefits associated with lower headcount from our 2020 Restructuring Plan and other cost-cutting initiatives. General and administrative expense includes a loss related to the 2015 Blacktail Release of $22.4 million and $17.0 million during the fiscal years ended December 31, 2021 and 2020, respectively (see Note 10 - Commitments and Contingencies for additional information).</w:t>
      </w:r>
    </w:p>
    <w:p>
      <w:pPr>
        <w:pStyle w:val="TextBody"/>
        <w:spacing w:lineRule="auto" w:line="288" w:before="120" w:after="283"/>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$12.7 million compared to the year ended December 31, 2020 primarily due to lower debt balances as a result of our liability management initiatives completed during 2020 which included (i) the Open Market Repurchases, (ii) the Debt Tender Offers, and (iii) the TL Restructuring. The decrease in interest expense was partially offset by borrowings on the Permian Transmission Credit Facility and higher interest costs resulting from the issuance of the 2026 Secured Notes.</w:t>
      </w:r>
    </w:p>
    <w:p>
      <w:pPr>
        <w:pStyle w:val="TextBody"/>
        <w:spacing w:lineRule="auto" w:line="288" w:before="120" w:after="283"/>
        <w:rPr/>
      </w:pPr>
      <w:r>
        <w:rPr>
          <w:rFonts w:ascii="Times New Roman;sans-serif" w:hAnsi="Times New Roman;sans-serif"/>
          <w:b w:val="false"/>
          <w:color w:val="000000"/>
          <w:sz w:val="20"/>
          <w:u w:val="single"/>
        </w:rPr>
        <w:t>Gain on Early Extinguishment of Debt</w:t>
      </w:r>
      <w:r>
        <w:rPr>
          <w:rFonts w:ascii="Times New Roman;sans-serif" w:hAnsi="Times New Roman;sans-serif"/>
          <w:b w:val="false"/>
          <w:color w:val="000000"/>
          <w:sz w:val="20"/>
        </w:rPr>
        <w:t>. The gain on the early extinguishment of debt for the year ended December 31, 2020 is primarily related to liability management initiatives undertaken during 2020 that resulted in a $86.4 million gain from the Open Market Repurchases, a $23.3 million gain from the Debt Tender Offers, and a $93.9 million gain from our TL Restructuring.</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 as well as external financing sources, including our ABL Facility and the issuance of debt, equity and preferred equity securities, and proceeds from potential asset divestitures to fund our capital expenditures. We believe that our ABL Facility and Permian Transmission Credit Facility, together with internally generated cash flow and access to debt or equity capital markets, will be adequate to finance our operations for the next twelve months without adversely impacting our liquidity.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December 31, 2021, our material off-balance sheet arrangements and transactions include (i) letters of credit outstanding against our ABL Facility aggregating to $23.9 million, and (ii) outstanding surety bonds aggregating to $2.0 million. There are no other transactions, arrangements or other relationships with unconsolidated entities or other persons that are reasonably likely to materially affect our liquidity or availability of our capital resources.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Summit Holdings has a $400.0 million revolving ABL Facility pursuant to that certain Loan and Security Agreement, dated as of November 2, 2021 (the “ABL Agreement”), with a maturity date of May 1, 2026. The maturity date of the ABL Facility will spring forward to December 13, 2024 if the outstanding amount of the 2025 Senior Notes on such date equals or exceeds $50.0 million or to January 14, 2025 if any amount of the 2025 Senior Notes is outstanding on such date and Liquidity (as defined in the ABL Agreement) is less than the sum of the outstanding principal amount of the 2025 Senior Notes and the Threshold Amount (as defined in the ABL Agreement). As of December 31, 2021, the outstanding balance of the ABL Facility was $267.0 million and the unused commitments were $109.1 million, after giving effect to the issuance thereunder of $23.9 million of outstanding but undrawn irrevocable standby letters of credit. The ABL Facility is secured by a first lien on all of our assets and borrowings are subject to a borrowing base comprised of a percentage of eligible accounts receivable of Summit Holdings and its subsidiaries that guarantee the ABL Facility (collectively, the “ABL Facility Guarantors”) and a percentage of eligible above-ground fixed assets including eligible compression units, processing plants, compression stations and related equipment of Summit Holdings and the ABL Facility Guarantors. As of the date of the most recent borrowing base determination, eligible assets totaled $691.2 million, an amount greater than the $400.0 million capacity of the ABL Facility.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defaults or events of default under the ABL Facility during 2021, and as of December 31, 2021, we were in compliance with the financial covenants in the ABL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spacing w:lineRule="auto" w:line="288" w:before="120" w:after="283"/>
        <w:rPr/>
      </w:pPr>
      <w:r>
        <w:rPr>
          <w:rFonts w:ascii="Times New Roman;sans-serif" w:hAnsi="Times New Roman;sans-serif"/>
          <w:b/>
          <w:i/>
          <w:color w:val="000000"/>
          <w:sz w:val="20"/>
        </w:rPr>
        <w:t>Permian Transmission Term Loan and Permian Transmission Credit Facility.</w:t>
      </w:r>
      <w:r>
        <w:rPr>
          <w:color w:val="000000"/>
        </w:rPr>
        <w:t xml:space="preserve"> </w:t>
      </w:r>
      <w:r>
        <w:rPr>
          <w:rFonts w:ascii="Times New Roman;sans-serif" w:hAnsi="Times New Roman;sans-serif"/>
          <w:b w:val="false"/>
          <w:color w:val="000000"/>
          <w:sz w:val="20"/>
        </w:rPr>
        <w:t xml:space="preserve">We have $175.0 million of senior secured credit facilities, which includes a $160.0 million term loan (the “Permian Transmission Term Loan”) and a $15.0 million working capital facility (the “Permian Transmission Credit Facility”). As of December 31, 2021, the balance of the Permian Transmission Credit Facility was $160.0 million, and we were in compliance with the financial covenants of the $160.0 million Permian Transmission Credit Facility. </w:t>
      </w:r>
    </w:p>
    <w:p>
      <w:pPr>
        <w:pStyle w:val="TextBody"/>
        <w:spacing w:lineRule="auto" w:line="288" w:before="120" w:after="283"/>
        <w:rPr/>
      </w:pPr>
      <w:r>
        <w:rPr>
          <w:rFonts w:ascii="Times New Roman;sans-serif" w:hAnsi="Times New Roman;sans-serif"/>
          <w:b/>
          <w:i/>
          <w:color w:val="000000"/>
          <w:sz w:val="20"/>
          <w:highlight w:val="white"/>
        </w:rPr>
        <w:t>2025 Senior Notes.</w:t>
      </w:r>
      <w:r>
        <w:rPr>
          <w:color w:val="000000"/>
          <w:highlight w:val="white"/>
        </w:rPr>
        <w:t xml:space="preserve"> </w:t>
      </w:r>
      <w:r>
        <w:rPr>
          <w:rFonts w:ascii="Times New Roman;sans-serif" w:hAnsi="Times New Roman;sans-serif"/>
          <w:b w:val="false"/>
          <w:color w:val="000000"/>
          <w:sz w:val="20"/>
          <w:highlight w:val="white"/>
        </w:rPr>
        <w:t>In February 2017, the Co-Issuers co-issued $500.0 million of 5.75% senior unsecured notes maturing April 15, 2025 (the “2025 Senior Notes”). As of December 31, 2021, the outstanding balance of the 2025 Senior Notes was $259.5 million.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w:t>
      </w:r>
      <w:r>
        <w:rPr>
          <w:color w:val="000000"/>
        </w:rPr>
        <w:t xml:space="preserve"> </w:t>
      </w:r>
      <w:r>
        <w:rPr>
          <w:rFonts w:ascii="Times New Roman;sans-serif" w:hAnsi="Times New Roman;sans-serif"/>
          <w:b w:val="false"/>
          <w:color w:val="000000"/>
          <w:sz w:val="20"/>
          <w:highlight w:val="white"/>
        </w:rPr>
        <w:t>The Co-Issuers may redeem all or part of the 2025 Senior Notes at a redemption price of 102.875% (with the redemption price declining ratably each April 15 to 100.000% on April 15, 2023), plus accrued and unpaid interest, if any, to, but not including, the redemption date.</w:t>
      </w:r>
      <w:r>
        <w:rPr>
          <w:color w:val="000000"/>
        </w:rPr>
        <w:t xml:space="preserve"> </w:t>
      </w:r>
    </w:p>
    <w:p>
      <w:pPr>
        <w:pStyle w:val="TextBody"/>
        <w:spacing w:lineRule="auto" w:line="288" w:before="120" w:after="283"/>
        <w:rPr/>
      </w:pPr>
      <w:r>
        <w:rPr>
          <w:rFonts w:ascii="Times New Roman;sans-serif" w:hAnsi="Times New Roman;sans-serif"/>
          <w:b/>
          <w:i/>
          <w:color w:val="000000"/>
          <w:sz w:val="20"/>
        </w:rPr>
        <w:t>2026 Secured Notes.</w:t>
      </w:r>
      <w:r>
        <w:rPr>
          <w:color w:val="000000"/>
        </w:rPr>
        <w:t xml:space="preserve"> </w:t>
      </w:r>
      <w:r>
        <w:rPr>
          <w:rFonts w:ascii="Times New Roman;sans-serif" w:hAnsi="Times New Roman;sans-serif"/>
          <w:b w:val="false"/>
          <w:color w:val="000000"/>
          <w:sz w:val="20"/>
        </w:rPr>
        <w:t>In November 2021, we issued $700.0 million of the 2026 Secured Notes, at a price of 98.5% of face value. The Co-Issuers pay interest on the 2026 Secured Notes semi-annually on April 15 and October 15 of each year, commencing on April 15, 2022, and the 2026 Secured Notes are jointly and severally guaranteed, on a senior second-priority secured basis (subject to permitted liens), by us and each of our restricted subsidiaries that is an obligor under the ABL Facility, or under the 2025 Senior Notes on the issue date of the 2026 Secured Notes. As of December 31, 2021, the outstanding balance of the 2026 Secured Notes was $700.0 million.</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rPr>
        <w:t>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Credit Facility, offer to purchase an amount of the 2026 Secured Notes, at 100% of the principal amount plus accrued and unpaid interest, equal to 100% of the Excess Cash Flow generated in the prior year. 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w:t>
      </w:r>
      <w:r>
        <w:rPr>
          <w:color w:val="000000"/>
        </w:rPr>
        <w:t xml:space="preserve"> </w:t>
      </w:r>
      <w:r>
        <w:rPr>
          <w:rFonts w:ascii="Times New Roman;sans-serif" w:hAnsi="Times New Roman;sans-serif"/>
          <w:b w:val="false"/>
          <w:color w:val="000000"/>
          <w:sz w:val="20"/>
        </w:rPr>
        <w:t xml:space="preserve">Per the terms of the 2026 Secured Notes Indenture, the designated amounts are $50.0 million in aggregate by April 1, 2023, otherwise the interest rate shall automatically increase by 50 basis points per annum; $100.0 million in aggregate by April 1, 2024, otherwise the interest rate shall automatically increase by 100 basis points per annum (minus any amount previously increased); and $200.0 million in aggregate by April 1, 2025, otherwise the interest rate shall automatically increase by 200 basis points per annum (minus any amount previously increased).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the Partnership makes an offer to purchase, and the offer is not fully accepted by the holders of the 2026 Secured Notes, the Partnership may use any remaining amount not accepted for any purpose not prohibited by the 2026 Secured Notes Indenture, or the ABL Facility. </w:t>
      </w:r>
    </w:p>
    <w:p>
      <w:pPr>
        <w:pStyle w:val="TextBody"/>
        <w:spacing w:lineRule="auto" w:line="288" w:before="120" w:after="283"/>
        <w:rPr/>
      </w:pPr>
      <w:r>
        <w:rPr>
          <w:rFonts w:ascii="Times New Roman;sans-serif" w:hAnsi="Times New Roman;sans-serif"/>
          <w:b/>
          <w:i/>
          <w:color w:val="000000"/>
          <w:sz w:val="20"/>
        </w:rPr>
        <w:t>Double E distribution waterfall.</w:t>
      </w:r>
      <w:r>
        <w:rPr>
          <w:color w:val="000000"/>
        </w:rPr>
        <w:t xml:space="preserve"> </w:t>
      </w:r>
      <w:r>
        <w:rPr>
          <w:rFonts w:ascii="Times New Roman;sans-serif" w:hAnsi="Times New Roman;sans-serif"/>
          <w:b w:val="false"/>
          <w:color w:val="000000"/>
          <w:sz w:val="20"/>
        </w:rPr>
        <w:t>With the commencement of the first flow of gas on the Double E pipeline in November 2021, distributions from Double E will be made monthly starting in the first quarter of 2022. Distributions made to Summit Permian Transmission, LLC will be used to satisfy interest and principal payments required under the Permian Transmission Credit Facility. Any excess cash after these principal and interest payments will then be distributed to Summit Permian Transmission Holdco, LLC to pay the cash distribution due on the Subsidiary Series A Preferred Equity and to redeem portions of the Subsidiary Series A Preferred Units. Currently, we expect Summit Permian Transmission Holdco, LLC will use all of its expected cash receipts in 2022.</w:t>
      </w:r>
    </w:p>
    <w:p>
      <w:pPr>
        <w:pStyle w:val="TextBody"/>
        <w:spacing w:lineRule="auto" w:line="288" w:before="120" w:after="283"/>
        <w:rPr/>
      </w:pPr>
      <w:r>
        <w:rPr>
          <w:rFonts w:ascii="Times New Roman;sans-serif" w:hAnsi="Times New Roman;sans-serif"/>
          <w:b/>
          <w:i/>
          <w:color w:val="000000"/>
          <w:sz w:val="20"/>
        </w:rPr>
        <w:t xml:space="preserve">Preferred Exchange Offers. </w:t>
      </w:r>
      <w:r>
        <w:rPr>
          <w:rFonts w:ascii="Times New Roman;sans-serif" w:hAnsi="Times New Roman;sans-serif"/>
          <w:b w:val="false"/>
          <w:color w:val="000000"/>
          <w:sz w:val="20"/>
        </w:rPr>
        <w:t>In April 2021, we completed the 2021 Preferred Exchange Offer, whereby we exchanged 18,662 Series A Preferred Units for 538,715 newly issued common units, which is net of units withheld for withholding taxes. In January 2022, we completed the 2022 Preferred Exchange Offer, whereby we exchanged 77,939 Series A Preferred Units for 2,853,875 newly issued common units, which is net of units withheld for withholding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Cash Flows</w:t>
      </w:r>
    </w:p>
    <w:tbl>
      <w:tblPr>
        <w:tblW w:w="7298" w:type="dxa"/>
        <w:jc w:val="left"/>
        <w:tblInd w:w="0" w:type="dxa"/>
        <w:tblCellMar>
          <w:top w:w="28" w:type="dxa"/>
          <w:left w:w="28" w:type="dxa"/>
          <w:bottom w:w="28" w:type="dxa"/>
          <w:right w:w="28" w:type="dxa"/>
        </w:tblCellMar>
      </w:tblPr>
      <w:tblGrid>
        <w:gridCol w:w="1677"/>
        <w:gridCol w:w="1477"/>
        <w:gridCol w:w="1480"/>
        <w:gridCol w:w="211"/>
        <w:gridCol w:w="826"/>
        <w:gridCol w:w="109"/>
        <w:gridCol w:w="109"/>
        <w:gridCol w:w="109"/>
        <w:gridCol w:w="109"/>
        <w:gridCol w:w="211"/>
        <w:gridCol w:w="826"/>
        <w:gridCol w:w="154"/>
      </w:tblGrid>
      <w:tr>
        <w:trPr/>
        <w:tc>
          <w:tcPr>
            <w:tcW w:w="1677"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198,589 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(79,398)</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cash equivalents and restricted cash were as follows:</w:t>
      </w:r>
    </w:p>
    <w:p>
      <w:pPr>
        <w:pStyle w:val="TextBody"/>
        <w:spacing w:lineRule="auto" w:line="288" w:before="120" w:after="283"/>
        <w:rPr/>
      </w:pPr>
      <w:r>
        <w:rPr>
          <w:rFonts w:ascii="Times New Roman;sans-serif" w:hAnsi="Times New Roman;sans-serif"/>
          <w:b/>
          <w:i/>
          <w:color w:val="000000"/>
          <w:sz w:val="20"/>
        </w:rPr>
        <w:t>Operating activities.</w:t>
      </w:r>
      <w:r>
        <w:rPr>
          <w:color w:val="000000"/>
        </w:rPr>
        <w:t> </w:t>
      </w:r>
      <w:r>
        <w:rPr>
          <w:rFonts w:ascii="Times New Roman;sans-serif" w:hAnsi="Times New Roman;sans-serif"/>
          <w:b w:val="false"/>
          <w:color w:val="000000"/>
          <w:sz w:val="20"/>
        </w:rPr>
        <w:t>Details of cash flows from operating activities follow.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year ended December 31, 2021,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net loss of $19.9 million plus adjustments of $179.2 million for non-cash items;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$5.9 million increase in working capital accounts.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year ended December 31, 2020,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net income of $189.1 million plus adjustments of $40.5 million for non-cash items;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$50.0 million increase in working capital.</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Investing activities.</w:t>
      </w:r>
      <w:r>
        <w:rPr>
          <w:color w:val="000000"/>
        </w:rPr>
        <w:t> </w:t>
      </w:r>
      <w:r>
        <w:rPr>
          <w:rFonts w:ascii="Times New Roman;sans-serif" w:hAnsi="Times New Roman;sans-serif"/>
          <w:b w:val="false"/>
          <w:color w:val="000000"/>
          <w:sz w:val="20"/>
        </w:rPr>
        <w:t>Details of cash flows from investing activities follow.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year ended December 31, 2021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$148.7 million of capital contributions and costs for our equity method investment in Double E;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$25.0 million of capital expenditures primarily attributable to the ongoing development of our Rockies, Northeast and Permian segments.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year ended December 31, 2020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$99.9 million of capital contributions and costs for our equity method investment in Double E;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$43.1 million of capital expenditures primarily attributable to the ongoing development of our Rockies, Northeast and Permian segments.</w:t>
      </w:r>
    </w:p>
    <w:p>
      <w:pPr>
        <w:pStyle w:val="TextBody"/>
        <w:spacing w:lineRule="auto" w:line="288" w:before="120" w:after="283"/>
        <w:rPr/>
      </w:pPr>
      <w:r>
        <w:rPr>
          <w:rFonts w:ascii="Times New Roman;sans-serif" w:hAnsi="Times New Roman;sans-serif"/>
          <w:b/>
          <w:i/>
          <w:color w:val="000000"/>
          <w:sz w:val="20"/>
        </w:rPr>
        <w:t>Financing activities.</w:t>
      </w:r>
      <w:r>
        <w:rPr>
          <w:color w:val="000000"/>
        </w:rPr>
        <w:t> </w:t>
      </w:r>
      <w:r>
        <w:rPr>
          <w:rFonts w:ascii="Times New Roman;sans-serif" w:hAnsi="Times New Roman;sans-serif"/>
          <w:b w:val="false"/>
          <w:color w:val="000000"/>
          <w:sz w:val="20"/>
        </w:rPr>
        <w:t>Details of cash flows from financing activities follow.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provided by financing activities during the year ended December 31, 2021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Refinancing portions of our long-term debt that included proceeds of $300.0 million from the ABL Facility and $689.5 million from the issuance of the 2026 Secured Notes, offset by the repayment of $33.0 million of the ABL Facility and the repayment in full of the $857.0 million Revolving Credit Facility and $234.0 million of the 2022 Senior Notes;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$160.0 million of borrowings from the Permian Transmission Credit Facility to fund our capital contributions to our equity method investment in Double E; partially offset by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$20.2 million paid for debt issuance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year ended December 31, 2020 primarily reflected: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$145.6 million paid for the Open Market Repurchases of the 2022 Senior Notes and 2025 Senior Notes;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$47.5 million paid for tender offer of 2022 Senior Notes and 2025 Senior Notes;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$41.8 million for the purchase of common units in the GP Buy-In Transaction;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$35.0 million for the repayment of the ECP Loan;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$26.5 million for cash paid in connection with the TL Restructuring;</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$25.0 million of cash paid for in connection with the Preferred Tender Offer;</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$180.0 million of net proceeds from borrowings on our Revolving Credit Facility;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$48.7 million in proceeds from the issuance of our Subsidiary Series A Preferred Units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$35.0 million in proceeds from the ECP Loan.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Contractual Obligations Update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Partnership’s cash flows generated from operations are the primary source for funding various contractual obligations. The table below summarizes the Partnership’s major commitments as of December 31, 2021 through 2026 (in thousands):</w:t>
      </w:r>
    </w:p>
    <w:tbl>
      <w:tblPr>
        <w:tblW w:w="10504" w:type="dxa"/>
        <w:jc w:val="left"/>
        <w:tblInd w:w="0" w:type="dxa"/>
        <w:tblCellMar>
          <w:top w:w="28" w:type="dxa"/>
          <w:left w:w="28" w:type="dxa"/>
          <w:bottom w:w="28" w:type="dxa"/>
          <w:right w:w="28" w:type="dxa"/>
        </w:tblCellMar>
      </w:tblPr>
      <w:tblGrid>
        <w:gridCol w:w="947"/>
        <w:gridCol w:w="186"/>
        <w:gridCol w:w="188"/>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4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2026 Secured Notes, due October 15, 2026 </w:t>
            </w:r>
            <w:r>
              <w:rPr>
                <w:rFonts w:ascii="Times New Roman;sans-serif" w:hAnsi="Times New Roman;sans-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ABL Facility, due May 1, 2026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2025 Senior Notes, due April 2025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Permian Transmission Credit Facility, due March 8, 2028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 xml:space="preserve">Capital contributions to Double E equity method investment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Summit Midstream Marketing Firm Transportation obligation to Double E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Settlement for 2015 Blacktail Release, inclusive of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60" w:after="283"/>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Amounts above exclude the impact of principal reductions resulting from offers to purchase the 2026 Secured Notes with excess cash flow tenders required in the 2026 Secured Notes indenture.</w:t>
      </w:r>
    </w:p>
    <w:p>
      <w:pPr>
        <w:pStyle w:val="TextBody"/>
        <w:spacing w:lineRule="auto" w:line="268" w:before="60" w:after="283"/>
        <w:ind w:left="0" w:right="0" w:hanging="360"/>
        <w:rPr/>
      </w:pPr>
      <w:r>
        <w:rPr>
          <w:rFonts w:ascii="Times New Roman;sans-serif" w:hAnsi="Times New Roman;sans-serif"/>
          <w:b w:val="false"/>
          <w:color w:val="000000"/>
          <w:sz w:val="12"/>
        </w:rPr>
        <w:t>(2)</w:t>
      </w:r>
      <w:r>
        <w:rPr>
          <w:rFonts w:ascii="Times New Roman;sans-serif" w:hAnsi="Times New Roman;sans-serif"/>
          <w:b w:val="false"/>
          <w:color w:val="000000"/>
          <w:sz w:val="18"/>
        </w:rPr>
        <w:t>Amounts include an estimate for interest cost based on either the stated interest rate for fixed rate indebtedness or the interest rate in effect as of December 31, 2021 for variable rate indebtedness.</w:t>
      </w:r>
    </w:p>
    <w:p>
      <w:pPr>
        <w:pStyle w:val="TextBody"/>
        <w:spacing w:lineRule="auto" w:line="268" w:before="60" w:after="283"/>
        <w:ind w:left="0" w:right="0" w:hanging="360"/>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Amounts assumes the conversion of the Permian Transmission Credit Facility to a Term Loan as of December 31, 2021, with mandatory principal repayments of $4.6 million in 2022, $10.5 million in 2023, $15.5 million in 2024, $16.6 million in 2025 and $17.0 million in 2026. </w:t>
      </w:r>
    </w:p>
    <w:p>
      <w:pPr>
        <w:pStyle w:val="TextBody"/>
        <w:spacing w:lineRule="auto" w:line="288" w:before="60" w:after="283"/>
        <w:ind w:left="0" w:right="0" w:hanging="360"/>
        <w:rPr/>
      </w:pPr>
      <w:r>
        <w:rPr>
          <w:rFonts w:ascii="Times New Roman;sans-serif" w:hAnsi="Times New Roman;sans-serif"/>
          <w:b w:val="false"/>
          <w:color w:val="000000"/>
          <w:sz w:val="12"/>
        </w:rPr>
        <w:t>(4)</w:t>
      </w:r>
      <w:r>
        <w:rPr>
          <w:rFonts w:ascii="Times New Roman;sans-serif" w:hAnsi="Times New Roman;sans-serif"/>
          <w:b w:val="false"/>
          <w:color w:val="000000"/>
          <w:sz w:val="18"/>
        </w:rPr>
        <w:t>The Partnership issued a parental guaranty on behalf of its wholly owned subsidiary to fund the subsidiary’s pro rata share of required Double E construction project capital calls. As of December 31, 2021, this amount represents the Partnership's best estimate of its remaining obligation to fund Double E for the construction of the Double E Project.</w:t>
      </w:r>
    </w:p>
    <w:p>
      <w:pPr>
        <w:pStyle w:val="TextBody"/>
        <w:spacing w:lineRule="auto" w:line="288" w:before="60" w:after="283"/>
        <w:ind w:left="0" w:right="0" w:hanging="360"/>
        <w:rPr/>
      </w:pPr>
      <w:r>
        <w:rPr>
          <w:rFonts w:ascii="Times New Roman;sans-serif" w:hAnsi="Times New Roman;sans-serif"/>
          <w:b w:val="false"/>
          <w:color w:val="000000"/>
          <w:sz w:val="12"/>
        </w:rPr>
        <w:t>(5)</w:t>
      </w:r>
      <w:r>
        <w:rPr>
          <w:rFonts w:ascii="Times New Roman;sans-serif" w:hAnsi="Times New Roman;sans-serif"/>
          <w:b w:val="false"/>
          <w:color w:val="000000"/>
          <w:sz w:val="18"/>
        </w:rPr>
        <w:t>Amounts are Summit Midstream Marketing’s gross firm transportation commitments to its equity method investment in Double E, in which the Partnership has a 70% ownership interest. The amounts exclude benefits realized by the Partnership resulting from its proportionate share of net income generated by Double 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Capital Requirements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cash paid for capital expenditures totaled $25.0 million which included $7.5 million of maintenance capital expenditures. For the year ended December 31, 2021, we contributed $148.7 million to Double E, which includes $3.0 million in capitalized interest.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 as well as external financing sources, including commercial bank borrowings and the issuance of debt, equity and preferred equity securities, and proceeds from asset divestitures to fund our capital expenditures. We believe that our internally generated cash flow and access to debt or equity capital markets, will be adequate to finance our business for the next twelve months without adversely impacting our liquidity.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Considering the current commodity price backdrop and continued uncertainty regarding impacts from the COVID-19 pandemic, we will remain disciplined with respect to future capital expenditures, which will be primarily concentrated on accretive bolt-on opportunities of our existing systems in the Northeast, Rockies and Permian.</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estimate that our 2022 capital program will range from $20.0 million to $35.0 million, including between $10.0 million and $15.0 million of maintenance capital expenditures.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 with third parties; (ii) prevailing conditions and outlook in the natural gas, crude oil and NGL industries and markets and (iii) our ability to obtain financing from commercial banks, the capital markets, or other financing 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Credit and Counterparty Concentration Risks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a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customer, who does not meet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Summarized Financial Information</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supplemental summarized financial information below reflects SMLP’s separate accounts, the combined accounts of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2025 Senior Notes and the 2026 Senior Notes.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Payments to holders of the 2025 Senior Notes and the 2026 Secured Notes are affected by the composition of and relationships among the Co-Issuers, the Guarantor Subsidiaries and Non-Guarantor Subsidiaries, who are unrestricted subsidiaries of SMLP and are not issuers or guarantors of the 2025 Senior Notes and the 2026 Secured Notes. The assets of our unrestricted subsidiaries are not available to satisfy the demands of the holders of the 2025 Senior Notes and the 2026 Secured Notes. In addition, our unrestricted subsidiaries are subject to certain contractual restrictions related to the payment of dividends, and other rights in favor of their non-affiliated stakeholders, that limit their ability to satisfy the demands of the holders of the 2025 Senior Notes and the 2026 Secured Notes.</w:t>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list of each of SMLP’s subsidiaries that is a guarantor, issuer or co-issuer of our registered securities subject to the reporting requirements in Release 33-10762 is filed as Exhibit 22.1 to this Annual Report.</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color w:val="000000"/>
          <w:sz w:val="20"/>
        </w:rPr>
        <w:t>Summarized Balance Sheet Information. </w:t>
      </w:r>
      <w:r>
        <w:rPr>
          <w:rFonts w:ascii="Times New Roman;sans-serif" w:hAnsi="Times New Roman;sans-serif"/>
          <w:b w:val="false"/>
          <w:color w:val="000000"/>
          <w:sz w:val="20"/>
        </w:rPr>
        <w:t>Summarized balance sheet information as of December 31, 2021 and December 31, 2020 follow.</w:t>
      </w:r>
    </w:p>
    <w:tbl>
      <w:tblPr>
        <w:tblW w:w="4472" w:type="dxa"/>
        <w:jc w:val="left"/>
        <w:tblInd w:w="0" w:type="dxa"/>
        <w:tblCellMar>
          <w:top w:w="28" w:type="dxa"/>
          <w:left w:w="28" w:type="dxa"/>
          <w:bottom w:w="28" w:type="dxa"/>
          <w:right w:w="28" w:type="dxa"/>
        </w:tblCellMar>
      </w:tblPr>
      <w:tblGrid>
        <w:gridCol w:w="670"/>
        <w:gridCol w:w="591"/>
        <w:gridCol w:w="598"/>
        <w:gridCol w:w="211"/>
        <w:gridCol w:w="721"/>
        <w:gridCol w:w="109"/>
        <w:gridCol w:w="109"/>
        <w:gridCol w:w="109"/>
        <w:gridCol w:w="109"/>
        <w:gridCol w:w="242"/>
        <w:gridCol w:w="827"/>
        <w:gridCol w:w="176"/>
      </w:tblGrid>
      <w:tr>
        <w:trPr/>
        <w:tc>
          <w:tcPr>
            <w:tcW w:w="67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70,483 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2,149,300 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1,274,803 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472" w:type="dxa"/>
        <w:jc w:val="left"/>
        <w:tblInd w:w="0" w:type="dxa"/>
        <w:tblCellMar>
          <w:top w:w="28" w:type="dxa"/>
          <w:left w:w="28" w:type="dxa"/>
          <w:bottom w:w="28" w:type="dxa"/>
          <w:right w:w="28" w:type="dxa"/>
        </w:tblCellMar>
      </w:tblPr>
      <w:tblGrid>
        <w:gridCol w:w="670"/>
        <w:gridCol w:w="591"/>
        <w:gridCol w:w="598"/>
        <w:gridCol w:w="211"/>
        <w:gridCol w:w="721"/>
        <w:gridCol w:w="109"/>
        <w:gridCol w:w="109"/>
        <w:gridCol w:w="109"/>
        <w:gridCol w:w="109"/>
        <w:gridCol w:w="242"/>
        <w:gridCol w:w="827"/>
        <w:gridCol w:w="176"/>
      </w:tblGrid>
      <w:tr>
        <w:trPr/>
        <w:tc>
          <w:tcPr>
            <w:tcW w:w="67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78,304 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2,277,807 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50,192 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1,398,872 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color w:val="000000"/>
          <w:sz w:val="20"/>
        </w:rPr>
        <w:t>Summarized Statements of Operations Information. </w:t>
      </w:r>
      <w:r>
        <w:rPr>
          <w:rFonts w:ascii="Times New Roman;sans-serif" w:hAnsi="Times New Roman;sans-serif"/>
          <w:b w:val="false"/>
          <w:color w:val="000000"/>
          <w:sz w:val="20"/>
        </w:rPr>
        <w:t>For the purposes of the following summarized statements of operations, we allocate a portion of general and administrative expenses recognized at the SMLP parent to the Obligor Group to reflect what those entities' results would have been had they operated on a stand-alone basis. Summarized statements of operations for the years ended December 31, 2021 and 2020 follow.</w:t>
      </w:r>
    </w:p>
    <w:tbl>
      <w:tblPr>
        <w:tblW w:w="6962" w:type="dxa"/>
        <w:jc w:val="left"/>
        <w:tblInd w:w="0" w:type="dxa"/>
        <w:tblCellMar>
          <w:top w:w="28" w:type="dxa"/>
          <w:left w:w="28" w:type="dxa"/>
          <w:bottom w:w="28" w:type="dxa"/>
          <w:right w:w="28" w:type="dxa"/>
        </w:tblCellMar>
      </w:tblPr>
      <w:tblGrid>
        <w:gridCol w:w="1546"/>
        <w:gridCol w:w="1361"/>
        <w:gridCol w:w="1367"/>
        <w:gridCol w:w="211"/>
        <w:gridCol w:w="796"/>
        <w:gridCol w:w="109"/>
        <w:gridCol w:w="109"/>
        <w:gridCol w:w="109"/>
        <w:gridCol w:w="109"/>
        <w:gridCol w:w="220"/>
        <w:gridCol w:w="864"/>
        <w:gridCol w:w="161"/>
      </w:tblGrid>
      <w:tr>
        <w:trPr/>
        <w:tc>
          <w:tcPr>
            <w:tcW w:w="1546"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400,619 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317,975 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investees</w:t>
            </w:r>
          </w:p>
        </w:tc>
        <w:tc>
          <w:tcPr>
            <w:tcW w:w="100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(37,618)</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258" w:type="dxa"/>
        <w:jc w:val="left"/>
        <w:tblInd w:w="0" w:type="dxa"/>
        <w:tblCellMar>
          <w:top w:w="28" w:type="dxa"/>
          <w:left w:w="28" w:type="dxa"/>
          <w:bottom w:w="28" w:type="dxa"/>
          <w:right w:w="28" w:type="dxa"/>
        </w:tblCellMar>
      </w:tblPr>
      <w:tblGrid>
        <w:gridCol w:w="1291"/>
        <w:gridCol w:w="1137"/>
        <w:gridCol w:w="1142"/>
        <w:gridCol w:w="211"/>
        <w:gridCol w:w="796"/>
        <w:gridCol w:w="109"/>
        <w:gridCol w:w="109"/>
        <w:gridCol w:w="109"/>
        <w:gridCol w:w="109"/>
        <w:gridCol w:w="220"/>
        <w:gridCol w:w="864"/>
        <w:gridCol w:w="161"/>
      </w:tblGrid>
      <w:tr>
        <w:trPr/>
        <w:tc>
          <w:tcPr>
            <w:tcW w:w="1291"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302,989 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investees</w:t>
            </w:r>
          </w:p>
        </w:tc>
        <w:tc>
          <w:tcPr>
            <w:tcW w:w="100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122,108 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(26,016)</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135,181 </w:t>
            </w:r>
          </w:p>
        </w:tc>
        <w:tc>
          <w:tcPr>
            <w:tcW w:w="16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management to make estimates and judgments that affect the amounts of assets, liabilities, revenues and expenses and related disclosure of contingent assets and liabilities. We evaluate our estimates on an on-going basis, based on historical experience and on various other assumptions that are believed to be reasonable under the circumstances. Actual results may differ from these estimates under different assumptions or conditions. We believe the following describes significant judgments and estimates used in the preparation of our consolidated financial statements.</w:t>
      </w:r>
    </w:p>
    <w:p>
      <w:pPr>
        <w:pStyle w:val="TextBody"/>
        <w:spacing w:lineRule="auto" w:line="288" w:before="120" w:after="283"/>
        <w:rPr/>
      </w:pPr>
      <w:r>
        <w:rPr>
          <w:rFonts w:ascii="Times New Roman;sans-serif" w:hAnsi="Times New Roman;sans-serif"/>
          <w:b/>
          <w:i/>
          <w:color w:val="000000"/>
          <w:sz w:val="20"/>
        </w:rPr>
        <w:t>Impairment of Long-Lived Assets. </w:t>
      </w:r>
      <w:r>
        <w:rPr>
          <w:rFonts w:ascii="Times New Roman;sans-serif" w:hAnsi="Times New Roman;sans-serif"/>
          <w:b w:val="false"/>
          <w:color w:val="000000"/>
          <w:sz w:val="20"/>
        </w:rPr>
        <w:t>As of December 31, 2021, we had net property, plant and equipment with a carrying value of approximately $1.7 billion and net amortizing intangible assets with a carrying value of approximately $172.9 million. 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would recognize an impairment loss equal to the amount by which the carrying value exceeds the asset's fair value. We determine fair value using a combination of approaches, including a market-based approach and an income-based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evaluate our equity method investments for impairment when we believe the current fair value may be less than the carrying amount and record an impairment if we believe the decline in value is other than temporary.</w:t>
      </w:r>
    </w:p>
    <w:p>
      <w:pPr>
        <w:pStyle w:val="TextBody"/>
        <w:spacing w:lineRule="auto" w:line="288" w:before="120" w:after="283"/>
        <w:rPr/>
      </w:pPr>
      <w:r>
        <w:rPr>
          <w:rFonts w:ascii="Times New Roman;sans-serif" w:hAnsi="Times New Roman;sans-serif"/>
          <w:b/>
          <w:i/>
          <w:color w:val="000000"/>
          <w:sz w:val="20"/>
        </w:rPr>
        <w:t>Adjustments for MVC Shortfall Payments.</w:t>
      </w:r>
      <w:r>
        <w:rPr>
          <w:color w:val="000000"/>
        </w:rPr>
        <w:t> </w:t>
      </w:r>
      <w:r>
        <w:rPr>
          <w:rFonts w:ascii="Times New Roman;sans-serif" w:hAnsi="Times New Roman;sans-serif"/>
          <w:b w:val="false"/>
          <w:color w:val="000000"/>
          <w:sz w:val="20"/>
        </w:rPr>
        <w:t>For our calculation of segment adjusted EBITDA, we estimate the impact of expected MVC shortfall payments based on assumptions that include, but are not limited to, contract terms, historical volume throughput data, and expectations regarding future investment expenditures, customer drilling activities, and customer production volumes.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current interest rate risk exposure is largely related to our indebtedness. As of December 31, 2021, we had $959.5 million principal of fixed-rate debt, $267.0 million outstanding under our variable rate ABL Facility and $160.0 million outstanding under our variable rate Permian Transmission Credit Facility. As of December 31, 2021, we had $144.0 million of interest rate exposure hedged to offset the impact of changes in interest rates on our Permian Transmission Credit Facility.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the year ended December 31, 2021, a hypothetical 1% increase (decrease) in interest rates on our variable rate debt would have increased (decreased) our interest expense by approximately $7.2 million assuming no changes in amounts drawn or other variables under our Revolving Credit Facility, ABL Facility or Permian Transmission.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Piceance, and Permian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7936" w:type="dxa"/>
        <w:jc w:val="left"/>
        <w:tblInd w:w="0" w:type="dxa"/>
        <w:tblCellMar>
          <w:top w:w="28" w:type="dxa"/>
          <w:left w:w="28" w:type="dxa"/>
          <w:bottom w:w="28" w:type="dxa"/>
          <w:right w:w="28" w:type="dxa"/>
        </w:tblCellMar>
      </w:tblPr>
      <w:tblGrid>
        <w:gridCol w:w="2735"/>
        <w:gridCol w:w="2402"/>
        <w:gridCol w:w="2408"/>
        <w:gridCol w:w="114"/>
        <w:gridCol w:w="114"/>
        <w:gridCol w:w="163"/>
      </w:tblGrid>
      <w:tr>
        <w:trPr/>
        <w:tc>
          <w:tcPr>
            <w:tcW w:w="2735"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24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06">
              <w:r>
                <w:rPr>
                  <w:rStyle w:val="InternetLink"/>
                  <w:rFonts w:ascii="Times New Roman;sans-serif" w:hAnsi="Times New Roman;sans-serif"/>
                  <w:b w:val="false"/>
                  <w:color w:val="0000FF"/>
                  <w:sz w:val="22"/>
                  <w:u w:val="single"/>
                </w:rPr>
                <w:t>Report of Independent Registered Public Accounting Firm</w:t>
              </w:r>
            </w:hyperlink>
            <w:r>
              <w:rPr>
                <w:color w:val="000000"/>
              </w:rPr>
              <w:t xml:space="preserve"> </w:t>
            </w:r>
            <w:r>
              <w:rPr>
                <w:rFonts w:ascii="Times New Roman;sans-serif" w:hAnsi="Times New Roman;sans-serif"/>
                <w:b w:val="false"/>
                <w:color w:val="000000"/>
                <w:sz w:val="22"/>
              </w:rPr>
              <w:t>(PCAOB ID No. 34)</w:t>
            </w:r>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06">
              <w:r>
                <w:rPr>
                  <w:rStyle w:val="InternetLink"/>
                  <w:rFonts w:ascii="Times New Roman;sans-serif" w:hAnsi="Times New Roman;sans-serif"/>
                  <w:b w:val="false"/>
                  <w:color w:val="0000FF"/>
                  <w:sz w:val="22"/>
                  <w:u w:val="single"/>
                </w:rPr>
                <w:t>91</w:t>
              </w:r>
            </w:hyperlink>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09">
              <w:r>
                <w:rPr>
                  <w:rStyle w:val="InternetLink"/>
                  <w:rFonts w:ascii="Times New Roman;sans-serif" w:hAnsi="Times New Roman;sans-serif"/>
                  <w:b w:val="false"/>
                  <w:color w:val="0000FF"/>
                  <w:sz w:val="22"/>
                  <w:u w:val="single"/>
                </w:rPr>
                <w:t>Consolidated Balance Sheets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09">
              <w:r>
                <w:rPr>
                  <w:rStyle w:val="InternetLink"/>
                  <w:rFonts w:ascii="Times New Roman;sans-serif" w:hAnsi="Times New Roman;sans-serif"/>
                  <w:b w:val="false"/>
                  <w:color w:val="0000FF"/>
                  <w:sz w:val="22"/>
                  <w:u w:val="single"/>
                </w:rPr>
                <w:t>93</w:t>
              </w:r>
            </w:hyperlink>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15">
              <w:r>
                <w:rPr>
                  <w:rStyle w:val="InternetLink"/>
                  <w:rFonts w:ascii="Times New Roman;sans-serif" w:hAnsi="Times New Roman;sans-serif"/>
                  <w:b w:val="false"/>
                  <w:color w:val="0000FF"/>
                  <w:sz w:val="22"/>
                  <w:u w:val="single"/>
                </w:rPr>
                <w:t>Consolidated Statements of Operations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15">
              <w:r>
                <w:rPr>
                  <w:rStyle w:val="InternetLink"/>
                  <w:rFonts w:ascii="Times New Roman;sans-serif" w:hAnsi="Times New Roman;sans-serif"/>
                  <w:b w:val="false"/>
                  <w:color w:val="0000FF"/>
                  <w:sz w:val="22"/>
                  <w:u w:val="single"/>
                </w:rPr>
                <w:t>94</w:t>
              </w:r>
            </w:hyperlink>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21">
              <w:r>
                <w:rPr>
                  <w:rStyle w:val="InternetLink"/>
                  <w:rFonts w:ascii="Times New Roman;sans-serif" w:hAnsi="Times New Roman;sans-serif"/>
                  <w:b w:val="false"/>
                  <w:color w:val="0000FF"/>
                  <w:sz w:val="22"/>
                  <w:u w:val="single"/>
                </w:rPr>
                <w:t>Consolidated Statements of Partners' Capital</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21">
              <w:r>
                <w:rPr>
                  <w:rStyle w:val="InternetLink"/>
                  <w:rFonts w:ascii="Times New Roman;sans-serif" w:hAnsi="Times New Roman;sans-serif"/>
                  <w:b w:val="false"/>
                  <w:color w:val="0000FF"/>
                  <w:sz w:val="22"/>
                  <w:u w:val="single"/>
                </w:rPr>
                <w:t>95</w:t>
              </w:r>
            </w:hyperlink>
          </w:p>
        </w:tc>
      </w:tr>
      <w:tr>
        <w:trPr/>
        <w:tc>
          <w:tcPr>
            <w:tcW w:w="75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27">
              <w:r>
                <w:rPr>
                  <w:rStyle w:val="InternetLink"/>
                  <w:rFonts w:ascii="Times New Roman;sans-serif" w:hAnsi="Times New Roman;sans-serif"/>
                  <w:b w:val="false"/>
                  <w:color w:val="0000FF"/>
                  <w:sz w:val="22"/>
                  <w:u w:val="single"/>
                </w:rPr>
                <w:t>Consolidated Statements of Cash Flows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27">
              <w:r>
                <w:rPr>
                  <w:rStyle w:val="InternetLink"/>
                  <w:rFonts w:ascii="Times New Roman;sans-serif" w:hAnsi="Times New Roman;sans-serif"/>
                  <w:b w:val="false"/>
                  <w:color w:val="0000FF"/>
                  <w:sz w:val="22"/>
                  <w:u w:val="single"/>
                </w:rPr>
                <w:t>96</w:t>
              </w:r>
            </w:hyperlink>
          </w:p>
        </w:tc>
      </w:tr>
      <w:tr>
        <w:trPr/>
        <w:tc>
          <w:tcPr>
            <w:tcW w:w="75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95b69f4d4d284ad19c2d2487f9376198_130">
              <w:r>
                <w:rPr>
                  <w:rStyle w:val="InternetLink"/>
                  <w:rFonts w:ascii="Times New Roman;sans-serif" w:hAnsi="Times New Roman;sans-serif"/>
                  <w:b w:val="false"/>
                  <w:color w:val="0000FF"/>
                  <w:sz w:val="22"/>
                  <w:u w:val="single"/>
                </w:rPr>
                <w:t>Notes to Consolidated Financial Statements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95b69f4d4d284ad19c2d2487f9376198_130">
              <w:r>
                <w:rPr>
                  <w:rStyle w:val="InternetLink"/>
                  <w:rFonts w:ascii="Times New Roman;sans-serif" w:hAnsi="Times New Roman;sans-serif"/>
                  <w:b w:val="false"/>
                  <w:color w:val="0000FF"/>
                  <w:sz w:val="22"/>
                  <w:u w:val="single"/>
                </w:rPr>
                <w:t>97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18"/>
        </w:rPr>
      </w:pPr>
      <w:r>
        <w:rPr>
          <w:rFonts w:ascii="Times New Roman;sans-serif" w:hAnsi="Times New Roman;sans-serif"/>
          <w:b/>
          <w:color w:val="000000"/>
          <w:sz w:val="18"/>
        </w:rPr>
        <w:t>REPORT OF INDEPENDENT REGISTERED PUBLIC ACCOUNTING FIRM</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To the Board of Directors of Summit Midstream, GP, LLC and the unitholders of Summit Midstream Partners, LP </w:t>
      </w:r>
    </w:p>
    <w:p>
      <w:pPr>
        <w:pStyle w:val="TextBody"/>
        <w:spacing w:lineRule="auto" w:line="288" w:before="120" w:after="283"/>
        <w:rPr>
          <w:rFonts w:ascii="Times New Roman;sans-serif" w:hAnsi="Times New Roman;sans-serif"/>
          <w:b/>
          <w:color w:val="000000"/>
          <w:sz w:val="18"/>
        </w:rPr>
      </w:pPr>
      <w:r>
        <w:rPr>
          <w:rFonts w:ascii="Times New Roman;sans-serif" w:hAnsi="Times New Roman;sans-serif"/>
          <w:b/>
          <w:color w:val="000000"/>
          <w:sz w:val="18"/>
        </w:rPr>
        <w:t>Opinion on the Financial Statements</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We have audited the accompanying consolidated balance sheets of Summit Midstream Partners, LP and subsidiaries (the "Partnership") as of December 31, 2021 and 2020, the related consolidated statements of operations, partners' capital, and cash flows, for each of the years then ended, and the related notes (collectively referred to as the "financial statements"). In our opinion, the financial statements present fairly, in all material respects, the financial position of the Partnership as of December 31, 2021 and 2020, and the results of its operations and its cash flows for each of the years then ended, in conformity with accounting principles generally accepted in the United States of America.</w:t>
      </w:r>
    </w:p>
    <w:p>
      <w:pPr>
        <w:pStyle w:val="TextBody"/>
        <w:spacing w:lineRule="auto" w:line="288" w:before="120" w:after="283"/>
        <w:rPr/>
      </w:pPr>
      <w:r>
        <w:rPr>
          <w:rFonts w:ascii="Times New Roman;sans-serif" w:hAnsi="Times New Roman;sans-serif"/>
          <w:b w:val="false"/>
          <w:color w:val="000000"/>
          <w:sz w:val="18"/>
        </w:rPr>
        <w:t xml:space="preserve">We have also audited, in accordance with the standards of the Public Company Accounting Oversight Board (United States) (PCAOB), the Partnership's internal control over financial reporting as of December 31, 2021, based on criteria established in </w:t>
      </w:r>
      <w:r>
        <w:rPr>
          <w:rFonts w:ascii="Times New Roman;sans-serif" w:hAnsi="Times New Roman;sans-serif"/>
          <w:b w:val="false"/>
          <w:i/>
          <w:color w:val="000000"/>
          <w:sz w:val="18"/>
        </w:rPr>
        <w:t>Internal Control — Integrated Framework (2013)</w:t>
      </w:r>
      <w:r>
        <w:rPr>
          <w:color w:val="000000"/>
        </w:rPr>
        <w:t xml:space="preserve"> </w:t>
      </w:r>
      <w:r>
        <w:rPr>
          <w:rFonts w:ascii="Times New Roman;sans-serif" w:hAnsi="Times New Roman;sans-serif"/>
          <w:b w:val="false"/>
          <w:color w:val="000000"/>
          <w:sz w:val="18"/>
        </w:rPr>
        <w:t xml:space="preserve">issued by the Committee of Sponsoring Organizations of the Treadway Commission and our report dated February 28, 2022, expressed an unqualified opinion on the Partnership's internal control over financial reporting. </w:t>
      </w:r>
    </w:p>
    <w:p>
      <w:pPr>
        <w:pStyle w:val="TextBody"/>
        <w:spacing w:lineRule="auto" w:line="288" w:before="120" w:after="283"/>
        <w:rPr>
          <w:rFonts w:ascii="Times New Roman;sans-serif" w:hAnsi="Times New Roman;sans-serif"/>
          <w:b/>
          <w:color w:val="000000"/>
          <w:sz w:val="18"/>
        </w:rPr>
      </w:pPr>
      <w:r>
        <w:rPr>
          <w:rFonts w:ascii="Times New Roman;sans-serif" w:hAnsi="Times New Roman;sans-serif"/>
          <w:b/>
          <w:color w:val="000000"/>
          <w:sz w:val="18"/>
        </w:rPr>
        <w:t xml:space="preserve">Basis for Opinion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120" w:after="283"/>
        <w:rPr>
          <w:rFonts w:ascii="Times New Roman;sans-serif" w:hAnsi="Times New Roman;sans-serif"/>
          <w:b/>
          <w:color w:val="000000"/>
          <w:sz w:val="18"/>
        </w:rPr>
      </w:pPr>
      <w:r>
        <w:rPr>
          <w:rFonts w:ascii="Times New Roman;sans-serif" w:hAnsi="Times New Roman;sans-serif"/>
          <w:b/>
          <w:color w:val="000000"/>
          <w:sz w:val="18"/>
        </w:rPr>
        <w:t xml:space="preserve">Critical Audit Matter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88" w:before="120" w:after="283"/>
        <w:rPr>
          <w:rFonts w:ascii="Times New Roman;sans-serif" w:hAnsi="Times New Roman;sans-serif"/>
          <w:b/>
          <w:i/>
          <w:color w:val="000000"/>
          <w:sz w:val="18"/>
        </w:rPr>
      </w:pPr>
      <w:r>
        <w:rPr>
          <w:rFonts w:ascii="Times New Roman;sans-serif" w:hAnsi="Times New Roman;sans-serif"/>
          <w:b/>
          <w:i/>
          <w:color w:val="000000"/>
          <w:sz w:val="18"/>
        </w:rPr>
        <w:t>Segment Reporting — Refer to Note 18 to the financial statements</w:t>
      </w:r>
    </w:p>
    <w:p>
      <w:pPr>
        <w:pStyle w:val="TextBody"/>
        <w:spacing w:lineRule="auto" w:line="288" w:before="120" w:after="283"/>
        <w:rPr>
          <w:rFonts w:ascii="Times New Roman;sans-serif" w:hAnsi="Times New Roman;sans-serif"/>
          <w:b w:val="false"/>
          <w:i/>
          <w:color w:val="000000"/>
          <w:sz w:val="18"/>
        </w:rPr>
      </w:pPr>
      <w:r>
        <w:rPr>
          <w:rFonts w:ascii="Times New Roman;sans-serif" w:hAnsi="Times New Roman;sans-serif"/>
          <w:b w:val="false"/>
          <w:i/>
          <w:color w:val="000000"/>
          <w:sz w:val="18"/>
        </w:rPr>
        <w:t>Critical Audit Matter Description</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As described in Note 18 to the consolidated financial statements, in 2021, the Partnership changed its segment reporting to align with how the Partnership’s Chief Executive Officer, its chief operating decision maker, reviews financial information in order to allocate resources and assess performance. The new segment reporting resulted from changes enacted to optimize commercial efforts and geographic workforce in order to better align its commercial, engineering, and operational capabilities. Therefore, upon filing the 10-K on February 28, 2022, the Partnership updated its segment reporting from eight to five reportable segments. We identified the change in reportable segments as a critical audit matter. We identified the change in reportable segments as a critical audit matter because of the qualitative and economic aggregation criteria and the appropriate period in which to reflect the change, which involved significant management judgment. As such, auditing this change required a high degree of auditor judgment when performing audit procedures and evaluating the results of those procedures.</w:t>
      </w:r>
    </w:p>
    <w:p>
      <w:pPr>
        <w:pStyle w:val="TextBody"/>
        <w:spacing w:lineRule="auto" w:line="288" w:before="120" w:after="283"/>
        <w:rPr>
          <w:rFonts w:ascii="Times New Roman;sans-serif" w:hAnsi="Times New Roman;sans-serif"/>
          <w:b w:val="false"/>
          <w:i/>
          <w:color w:val="000000"/>
          <w:sz w:val="18"/>
        </w:rPr>
      </w:pPr>
      <w:r>
        <w:rPr>
          <w:rFonts w:ascii="Times New Roman;sans-serif" w:hAnsi="Times New Roman;sans-serif"/>
          <w:b w:val="false"/>
          <w:i/>
          <w:color w:val="000000"/>
          <w:sz w:val="18"/>
        </w:rPr>
        <w:t xml:space="preserve">How the Critical Audit Matter Was Addressed in the Audit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Our audit procedures related to the change in reportable segments included the following, among others: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We tested the Partnership’s internal control specific to management’s periodic assessment of the identification and disclosure of reportable segments. Following management’s conclusion that an updated assessment was necessary relative to reportable segments, we tested the Partnership’s control over segment reporting which included a review of each of the factors specified below.</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We evaluated the qualitative and quantitative considerations made by management in concluding it was appropriate to consolidate the eight previously disclosed reportable segments into five reportable segments. This included evaluating the way that management organizes the segments within the Partnership for making operating decisions and assessing performance. Our evaluation included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We considered our experience as the Partnership’s auditor of record in evaluating management’s identification of the Chief Executive Officer as the Chief Operating Decision Maker (“CODM”).</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We corroborated management’s conclusion that the Partnership’s operating segments are organized by five geographic regions through the report that is periodically provided to the CODM to assist with business decisions.</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We evaluated management’s assessments related to the qualitative and quantitative criteria that were considered to consolidate the eight previously disclosed reportable segments into five segments. The qualitative criteria we evaluated included (i) the business activities from which each operating segment recognizes revenues and incurs expenses, (ii) the review of operating results by the CODM to assess performance and to make decisions about resources to be allocated to each segment, and (iii) the presence of discrete financial information for each operating segment. The quantitative criteria we evaluated included (i) the revenue and profit or loss reported for each operating segment in relation to the total revenue and total profit or loss, respectively, reported for all operating segments, (ii) the total assets reported for each operating segment in relation to the combined assets of all operating segments, and (iii) the total reportable segments’ revenue in relation to the Partnership’s total consolidated revenue. We corroborated management’s conclusions through our understanding of the Partnership’s business activities and audited historical financial data.</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18"/>
        </w:rPr>
        <w:t xml:space="preserve">We assessed management’s presentation and disclosure against the objectives and principles outlined in relevant accounting literature.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/s/ Deloitte &amp; Touche LLP</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Houston, Texas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28, 2022 </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We have served as the Partnership's auditor since 2009.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tbl>
      <w:tblPr>
        <w:tblW w:w="10205" w:type="dxa"/>
        <w:jc w:val="left"/>
        <w:tblInd w:w="0" w:type="dxa"/>
        <w:tblCellMar>
          <w:top w:w="28" w:type="dxa"/>
          <w:left w:w="28" w:type="dxa"/>
          <w:bottom w:w="28" w:type="dxa"/>
          <w:right w:w="28" w:type="dxa"/>
        </w:tblCellMar>
      </w:tblPr>
      <w:tblGrid>
        <w:gridCol w:w="3079"/>
        <w:gridCol w:w="2072"/>
        <w:gridCol w:w="2088"/>
        <w:gridCol w:w="211"/>
        <w:gridCol w:w="976"/>
        <w:gridCol w:w="109"/>
        <w:gridCol w:w="109"/>
        <w:gridCol w:w="109"/>
        <w:gridCol w:w="109"/>
        <w:gridCol w:w="211"/>
        <w:gridCol w:w="976"/>
        <w:gridCol w:w="156"/>
      </w:tblGrid>
      <w:tr>
        <w:trPr/>
        <w:tc>
          <w:tcPr>
            <w:tcW w:w="3079" w:type="dxa"/>
            <w:tcBorders/>
            <w:shd w:fill="auto" w:val="clear"/>
            <w:vAlign w:val="center"/>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7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Commitments and contingencies (Note</w:t>
            </w:r>
            <w:r>
              <w:rPr>
                <w:color w:val="000000"/>
              </w:rPr>
              <w:t> </w:t>
            </w:r>
            <w:r>
              <w:rPr>
                <w:rFonts w:ascii="Times New Roman;sans-serif" w:hAnsi="Times New Roman;sans-serif"/>
                <w:b w:val="false"/>
                <w:color w:val="000000"/>
                <w:sz w:val="20"/>
              </w:rPr>
              <w:t>10)</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 (91,439 and 85,308 units issued and outstanding at December 31, 2021 and December 31, 2020,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 (143,447 and 162,109 units issued and outstanding at December 31, 2021 and December 31, 2020,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 (7,169,834 and 6,110,092 units issued and outstanding at December 31, 2021 and December 31, 2020,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748,466 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w:t>
      </w:r>
    </w:p>
    <w:tbl>
      <w:tblPr>
        <w:tblW w:w="8996" w:type="dxa"/>
        <w:jc w:val="left"/>
        <w:tblInd w:w="0" w:type="dxa"/>
        <w:tblCellMar>
          <w:top w:w="28" w:type="dxa"/>
          <w:left w:w="28" w:type="dxa"/>
          <w:bottom w:w="28" w:type="dxa"/>
          <w:right w:w="28" w:type="dxa"/>
        </w:tblCellMar>
      </w:tblPr>
      <w:tblGrid>
        <w:gridCol w:w="2183"/>
        <w:gridCol w:w="1918"/>
        <w:gridCol w:w="1928"/>
        <w:gridCol w:w="235"/>
        <w:gridCol w:w="921"/>
        <w:gridCol w:w="121"/>
        <w:gridCol w:w="121"/>
        <w:gridCol w:w="121"/>
        <w:gridCol w:w="121"/>
        <w:gridCol w:w="235"/>
        <w:gridCol w:w="921"/>
        <w:gridCol w:w="171"/>
      </w:tblGrid>
      <w:tr>
        <w:trPr/>
        <w:tc>
          <w:tcPr>
            <w:tcW w:w="2183"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w:t>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302,792 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ECP Warrants</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early extinguishment of debt</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Subsidiary Series A Preferred Units</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Summit Midstream Partners, LP</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deemed capital contribution</w:t>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limited partners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262,994 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limited partner unit:</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2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limited partner units outstanding:</w:t>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basic</w:t>
            </w:r>
          </w:p>
        </w:tc>
        <w:tc>
          <w:tcPr>
            <w:tcW w:w="1156"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diluted</w:t>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tbl>
      <w:tblPr>
        <w:tblW w:w="10205" w:type="dxa"/>
        <w:jc w:val="left"/>
        <w:tblInd w:w="0" w:type="dxa"/>
        <w:tblCellMar>
          <w:top w:w="28" w:type="dxa"/>
          <w:left w:w="28" w:type="dxa"/>
          <w:bottom w:w="28" w:type="dxa"/>
          <w:right w:w="28" w:type="dxa"/>
        </w:tblCellMar>
      </w:tblPr>
      <w:tblGrid>
        <w:gridCol w:w="1097"/>
        <w:gridCol w:w="731"/>
        <w:gridCol w:w="737"/>
        <w:gridCol w:w="224"/>
        <w:gridCol w:w="844"/>
        <w:gridCol w:w="124"/>
        <w:gridCol w:w="109"/>
        <w:gridCol w:w="109"/>
        <w:gridCol w:w="109"/>
        <w:gridCol w:w="289"/>
        <w:gridCol w:w="1087"/>
        <w:gridCol w:w="162"/>
        <w:gridCol w:w="109"/>
        <w:gridCol w:w="109"/>
        <w:gridCol w:w="109"/>
        <w:gridCol w:w="224"/>
        <w:gridCol w:w="844"/>
        <w:gridCol w:w="124"/>
        <w:gridCol w:w="109"/>
        <w:gridCol w:w="109"/>
        <w:gridCol w:w="109"/>
        <w:gridCol w:w="248"/>
        <w:gridCol w:w="932"/>
        <w:gridCol w:w="137"/>
        <w:gridCol w:w="109"/>
        <w:gridCol w:w="109"/>
        <w:gridCol w:w="109"/>
        <w:gridCol w:w="196"/>
        <w:gridCol w:w="736"/>
        <w:gridCol w:w="161"/>
      </w:tblGrid>
      <w:tr>
        <w:trPr/>
        <w:tc>
          <w:tcPr>
            <w:tcW w:w="109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Series A 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Common Noncontrolling Interests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Series A 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Limited Partner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Partners capital, December 31, 2019</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293,616 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186,070 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305,550 </w:t>
            </w:r>
          </w:p>
        </w:tc>
        <w:tc>
          <w:tcPr>
            <w:tcW w:w="1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785,236 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175,580 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and associated payments on vested SMLP LTIP awards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Series A Preferred Unit Exchange</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distribution to SMLP unitholders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common issuances under  SMLP LTIP</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GP-Buy-In Transaction assumption of noncontrolling interest in SMLP</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(305,491)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(182,117)</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305,491 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182,117 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units under GP Buy-In Transaction</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(44,078)</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issuance due to TL Restructuring</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Series A Preferred Units to SMLP common units inclusive of a $110.7 million deemed contribution to common unit holders</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(145,720)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120,720 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Partners capital, December 31, 2020</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174,425 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748,466 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(52,614)</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and associated payments on vested SMLP LTIP awards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Series A Preferred Unit Exchange</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2021 Preferred Exchange Offer, inclusive of an $8.3 million deemed contribution to common unit holders</w:t>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ECP Warrants</w:t>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Partners capital, December 31, 2021</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734,594 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904,363 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Prior to the GP Buy-in Transaction, common noncontrolling interests reported by Summit Investments included equity interests in SMLP that were not owned by Summit Investments.</w:t>
      </w:r>
    </w:p>
    <w:p>
      <w:pPr>
        <w:pStyle w:val="TextBody"/>
        <w:spacing w:before="0" w:after="0"/>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tbl>
      <w:tblPr>
        <w:tblW w:w="8829" w:type="dxa"/>
        <w:jc w:val="left"/>
        <w:tblInd w:w="0" w:type="dxa"/>
        <w:tblCellMar>
          <w:top w:w="28" w:type="dxa"/>
          <w:left w:w="28" w:type="dxa"/>
          <w:bottom w:w="28" w:type="dxa"/>
          <w:right w:w="28" w:type="dxa"/>
        </w:tblCellMar>
      </w:tblPr>
      <w:tblGrid>
        <w:gridCol w:w="2313"/>
        <w:gridCol w:w="2035"/>
        <w:gridCol w:w="2042"/>
        <w:gridCol w:w="196"/>
        <w:gridCol w:w="721"/>
        <w:gridCol w:w="109"/>
        <w:gridCol w:w="109"/>
        <w:gridCol w:w="109"/>
        <w:gridCol w:w="109"/>
        <w:gridCol w:w="196"/>
        <w:gridCol w:w="736"/>
        <w:gridCol w:w="154"/>
      </w:tblGrid>
      <w:tr>
        <w:trPr/>
        <w:tc>
          <w:tcPr>
            <w:tcW w:w="2313"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income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and noncash compensation</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investees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sales, net</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extinguishment of debt</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ECP Warrants and other</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swaps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 valorem taxes payable</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environmental remediation, net</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Double E equity method investee</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2026 Secured Notes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2022 Senior Notes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Permian Transmission Credit Facility</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ABL Facility</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ABL Facility</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distributions to noncontrolling interest SMLP unitholders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Revolving Credit Facility</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Revolving Credit Facility</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on SMPH Term Loan before TL Restructuring</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Open Market Repurchases of 2022 and 2025 Senior Notes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Tender Offers of 2022 and 2025 Senior Notes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TL Restructuring</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Subsidiary Series A Preferred Units, net of issuance costs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Tender</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ECP Loans</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ECP Loans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common units in GP Buy-In Transaction</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 ORGANIZATION, BUSINESS OPERATIONS AND PRESENTATION AND CONSOLIDATION</w:t>
      </w:r>
    </w:p>
    <w:p>
      <w:pPr>
        <w:pStyle w:val="TextBody"/>
        <w:spacing w:lineRule="auto" w:line="288" w:before="120" w:after="283"/>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Partners, LP (including its subsidiaries, collectively “SMLP” or the “Partnership”) is a Delaware limited partnership that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 As of December 31, 2021, the Partnership indirectly owns its General Partner, and the General Partner is a wholly owned, indirect subsidiary of the Partnership. The General Partner has no assets or liabilities and holds the non-economic general partner interest in the Partnership.</w:t>
      </w:r>
    </w:p>
    <w:p>
      <w:pPr>
        <w:pStyle w:val="TextBody"/>
        <w:spacing w:lineRule="auto" w:line="288" w:before="120" w:after="283"/>
        <w:rPr/>
      </w:pPr>
      <w:r>
        <w:rPr>
          <w:rFonts w:ascii="Times New Roman;sans-serif" w:hAnsi="Times New Roman;sans-serif"/>
          <w:b/>
          <w:i/>
          <w:color w:val="000000"/>
          <w:sz w:val="20"/>
        </w:rPr>
        <w:t>GP Buy-In Transaction.</w:t>
      </w:r>
      <w:r>
        <w:rPr>
          <w:color w:val="000000"/>
        </w:rPr>
        <w:t> </w:t>
      </w:r>
      <w:r>
        <w:rPr>
          <w:rFonts w:ascii="Times New Roman;sans-serif" w:hAnsi="Times New Roman;sans-serif"/>
          <w:b w:val="false"/>
          <w:color w:val="000000"/>
          <w:sz w:val="20"/>
        </w:rPr>
        <w:t>On May 28, 2020, the Partnership closed the transactions contemplated by the Purchase Agreement (the “Purchase Agreement”), dated May 3, 2020, with affiliates of its then private equity sponsor, Energy Capital Partners II, LLC (“ECP”), to acquire Summit Investments. The acquisition of Summit Investments resulted in the Partnership acquiring (a) 2.3 million SMLP common units that were pledged as collateral under the SMPH Term Loan, (b) 0.7 million SMLP common units that were not pledged as collateral under the SMPH Term Loan and (c) a deferred purchase price obligation receivable owed by the Partnership. In addition, the Partnership acquired 0.4 million SMLP common units held by an affiliate of ECP. The total purchase price was $35.0 million in cash and warrants giving ECP the right to purchase up to 0.7 million SMLP common units (refer to Note 12 – Partners’ Capital and Mezzanine Capital for additional details). Pursuant to the Purchase Agreement, the Partnership retained any liabilities stemming from the release of produced water from a produced water pipeline operated by Meadowlark Midstream, a subsidiary of the Partnership, that occurred near Williston, North Dakota and was discovered on January 6, 2015. These transactions are collectively referred to as the “GP Buy-In Transaction.”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a result of the GP Buy-In Transaction, the Partnership indirectly owns its General Partner. Following the closing of the GP Buy-In Transaction, the Partnership retired 1.1 million SMLP common units it acquired that were not pledged as collateral under the SMPH Term Loan. The 2.3 million SMLP common units that were pledged as collateral under the SMPH Term Loan were not considered outstanding with respect to voting and distributions under the Partnership Agreement until the closing of the TL Restructuring on November 17, 2020 (refer to Note 9 -Liability Management Transactions).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pStyle w:val="TextBody"/>
        <w:spacing w:lineRule="auto" w:line="288" w:before="120" w:after="283"/>
        <w:rPr/>
      </w:pPr>
      <w:r>
        <w:rPr>
          <w:rFonts w:ascii="Times New Roman;sans-serif" w:hAnsi="Times New Roman;sans-serif"/>
          <w:b/>
          <w:i/>
          <w:color w:val="000000"/>
          <w:sz w:val="20"/>
        </w:rPr>
        <w:t>Reverse Unit Split.</w:t>
      </w:r>
      <w:r>
        <w:rPr>
          <w:color w:val="000000"/>
        </w:rPr>
        <w:t> </w:t>
      </w:r>
      <w:r>
        <w:rPr>
          <w:rFonts w:ascii="Times New Roman;sans-serif" w:hAnsi="Times New Roman;sans-serif"/>
          <w:b w:val="false"/>
          <w:color w:val="000000"/>
          <w:sz w:val="20"/>
        </w:rPr>
        <w:t>On November 9, 2020, after the close of trading on the NYSE, the Partnership effected a 1-for-15 reverse unit split (the “Reverse Unit Split”) of its common units. The common units began trading on a split-adjusted basis on November 10, 2020. Pursuant to the Reverse Unit Split, common unitholders received one common unit for every 15 common units owned at the close of business on November 9, 2020. Immediately prior to the Reverse Unit Split, there were 56,624,887 common units issued and outstanding and immediately after the Reverse Unit Split, the number of issued and outstanding common units decreased to 3,774,992.</w:t>
      </w:r>
    </w:p>
    <w:p>
      <w:pPr>
        <w:pStyle w:val="TextBody"/>
        <w:spacing w:lineRule="auto" w:line="288" w:before="120" w:after="283"/>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Partnership provides natural gas gathering, compression, treating and processing services as well as crude oil and produced 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pStyle w:val="TextBody"/>
        <w:spacing w:lineRule="auto" w:line="288" w:before="120" w:after="283"/>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Partnership prepares its consolidated financial statements in accordance with GAAP as established by the FASB. 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Risks and Uncertainties.</w:t>
      </w:r>
      <w:r>
        <w:rPr>
          <w:color w:val="000000"/>
        </w:rPr>
        <w:t> </w:t>
      </w:r>
      <w:r>
        <w:rPr>
          <w:rFonts w:ascii="Times New Roman;sans-serif" w:hAnsi="Times New Roman;sans-serif"/>
          <w:b w:val="false"/>
          <w:color w:val="000000"/>
          <w:sz w:val="20"/>
        </w:rPr>
        <w:t>The Partnership continues to closely monitor the impact of the COVID-19 pandemic on all aspects of its business, including how it has impacted and will impact its customers, employees, supply chain and distribution network. The Partnership is unable to predict the ultimate impact that COVID-19 may have on its business, future results of operations, financial position or cash flows.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PARTNERSHIP</w:t>
      </w:r>
    </w:p>
    <w:p>
      <w:pPr>
        <w:pStyle w:val="TextBody"/>
        <w:spacing w:lineRule="auto" w:line="288" w:before="120" w:after="283"/>
        <w:rPr/>
      </w:pPr>
      <w:r>
        <w:rPr>
          <w:rFonts w:ascii="Times New Roman;sans-serif" w:hAnsi="Times New Roman;sans-serif"/>
          <w:b/>
          <w:i/>
          <w:color w:val="000000"/>
          <w:sz w:val="20"/>
        </w:rPr>
        <w:t>Cash, Cash Equivalents and Restricted Cash.</w:t>
      </w:r>
      <w:r>
        <w:rPr>
          <w:color w:val="000000"/>
        </w:rPr>
        <w:t> </w:t>
      </w:r>
      <w:r>
        <w:rPr>
          <w:rFonts w:ascii="Times New Roman;sans-serif" w:hAnsi="Times New Roman;sans-serif"/>
          <w:b w:val="false"/>
          <w:color w:val="000000"/>
          <w:sz w:val="20"/>
        </w:rPr>
        <w:t>The Partnership considers all highly liquid investments with an original maturity of three months or less to be cash equivalents. Cash that is held by a major bank and has restrictions on its availability to the Partnership is classified as restricted cash. The restricted cash balance of $12.2 million at December 31, 2021 is related to proceeds which are available to finance Permian Transmission’s capital calls associated with its investment in Double E, for debt service or other general corporate purposes of Permiam Transmission. See Note 8 - Debt for additional information.</w:t>
      </w:r>
    </w:p>
    <w:p>
      <w:pPr>
        <w:pStyle w:val="TextBody"/>
        <w:spacing w:lineRule="auto" w:line="288" w:before="120" w:after="283"/>
        <w:rPr/>
      </w:pPr>
      <w:r>
        <w:rPr>
          <w:rFonts w:ascii="Times New Roman;sans-serif" w:hAnsi="Times New Roman;sans-serif"/>
          <w:b/>
          <w:i/>
          <w:color w:val="000000"/>
          <w:sz w:val="20"/>
        </w:rPr>
        <w:t>Accounts Receivable.</w:t>
      </w:r>
      <w:r>
        <w:rPr>
          <w:color w:val="000000"/>
        </w:rPr>
        <w:t> </w:t>
      </w:r>
      <w:r>
        <w:rPr>
          <w:rFonts w:ascii="Times New Roman;sans-serif" w:hAnsi="Times New Roman;sans-serif"/>
          <w:b w:val="false"/>
          <w:color w:val="000000"/>
          <w:sz w:val="20"/>
        </w:rPr>
        <w:t>Accounts receivable relate to gathering and other services provided to the Partnership’s customers and other counterparties. The Partnership evaluates the collectability of accounts receivable and the need for an allowance for doubtful accounts based on customer-specific facts and circumstances. To the extent the collectability of a specific customer or counterparty receivable is doubtful, the Partnership recognizes an allowance for doubtful accounts. Uncollectible receivables are written off when a settlement is reached for an amount that is less than the outstanding historical balance or a receivable amount is deemed otherwise unrealizable.</w:t>
      </w:r>
    </w:p>
    <w:p>
      <w:pPr>
        <w:pStyle w:val="TextBody"/>
        <w:spacing w:lineRule="auto" w:line="288" w:before="120" w:after="283"/>
        <w:rPr/>
      </w:pPr>
      <w:r>
        <w:rPr>
          <w:rFonts w:ascii="Times New Roman;sans-serif" w:hAnsi="Times New Roman;sans-serif"/>
          <w:b/>
          <w:i/>
          <w:color w:val="000000"/>
          <w:sz w:val="20"/>
        </w:rPr>
        <w:t>Property, Plant and Equipment. </w:t>
      </w:r>
      <w:r>
        <w:rPr>
          <w:rFonts w:ascii="Times New Roman;sans-serif" w:hAnsi="Times New Roman;sans-serif"/>
          <w:b w:val="false"/>
          <w:color w:val="000000"/>
          <w:sz w:val="20"/>
        </w:rPr>
        <w:t>The Partnership records property, plant and equipment at historical cost of construction or fair value of the assets at acquisition. The Partnership capitalizes expenditures that extend the useful life of an asset or enhance its productivity or efficiency from its original design over the expected remaining period of use. For maintenance and repairs that do not add capacity or extend the useful life of an asset, the Partnership recognizes expenditures as an expense as incurred. The Partnership capitalizes project costs incurred during construction, including interest on funds borrowed to finance the construction of facilities, as construction in progress. Accrued capital expenditures are reflected in trade accounts payable.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records depreciation on a straight-line basis over an asset’s estimated useful life and bases its estimates for useful life on various factors including age (in the case of acquired assets), manufacturing specifications, technological advances and historical data concerning useful lives of similar assets. Estimates of useful lives follow.</w:t>
      </w:r>
    </w:p>
    <w:tbl>
      <w:tblPr>
        <w:tblW w:w="5685" w:type="dxa"/>
        <w:jc w:val="left"/>
        <w:tblInd w:w="0" w:type="dxa"/>
        <w:tblCellMar>
          <w:top w:w="28" w:type="dxa"/>
          <w:left w:w="28" w:type="dxa"/>
          <w:bottom w:w="28" w:type="dxa"/>
          <w:right w:w="28" w:type="dxa"/>
        </w:tblCellMar>
      </w:tblPr>
      <w:tblGrid>
        <w:gridCol w:w="1712"/>
        <w:gridCol w:w="1502"/>
        <w:gridCol w:w="1511"/>
        <w:gridCol w:w="281"/>
        <w:gridCol w:w="281"/>
        <w:gridCol w:w="398"/>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(In years)</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12-30</w:t>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is depreciated consistent with its applicable asset class once it is placed in service. Land and line fill are not depreciated.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bases an asset’s carrying value on estimates, assumptions and judgments for useful life and salvage value. Upon sale, retirement or other disposal, the Partnership removes the carrying value of an asset and its accumulated depreciation from its balance sheet and recognizes the related gain or loss, if any.</w:t>
      </w:r>
    </w:p>
    <w:p>
      <w:pPr>
        <w:pStyle w:val="TextBody"/>
        <w:spacing w:lineRule="auto" w:line="288" w:before="120" w:after="283"/>
        <w:rPr/>
      </w:pPr>
      <w:r>
        <w:rPr>
          <w:rFonts w:ascii="Times New Roman;sans-serif" w:hAnsi="Times New Roman;sans-serif"/>
          <w:b/>
          <w:i/>
          <w:color w:val="000000"/>
          <w:sz w:val="20"/>
        </w:rPr>
        <w:t>Asset Retirement Obligations.</w:t>
      </w:r>
      <w:r>
        <w:rPr>
          <w:color w:val="000000"/>
        </w:rPr>
        <w:t> </w:t>
      </w:r>
      <w:r>
        <w:rPr>
          <w:rFonts w:ascii="Times New Roman;sans-serif" w:hAnsi="Times New Roman;sans-serif"/>
          <w:b w:val="false"/>
          <w:color w:val="000000"/>
          <w:sz w:val="20"/>
        </w:rPr>
        <w:t>The Partnership records a liability for asset retirement obligations only if and when a future asset retirement obligation with a determinable life is identified. For identified asset retirement obligations, the Partnership evaluates whether the expected retirement date and related costs of retirement can be estimated. The Partnership has concluded that its gathering and processing assets have an indeterminate life because they are owned and will operate for an indeterminate period when properly maintained. Because the Partnership does not have sufficient information to reasonably estimate the amount or timing of such obligations and does not have any current plan to discontinue use of any significant assets, the Partnership did not provide for any asset retirement obligations as of December 31, 2021 or 2020.</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Amortizing Intangibles. </w:t>
      </w:r>
      <w:r>
        <w:rPr>
          <w:rFonts w:ascii="Times New Roman;sans-serif" w:hAnsi="Times New Roman;sans-serif"/>
          <w:b w:val="false"/>
          <w:color w:val="000000"/>
          <w:sz w:val="20"/>
        </w:rPr>
        <w:t>The Partnership has certain acquired gas gathering contracts that had above-market pricing structures at the acquisition date and the Partnership amortizes these favorable contracts using a straight-line method over the contract’s estimated useful life. The Partnership defines useful life as the period over which the contract is expected to contribute to the Partnership’s future cash flows. These favorable contracts have original terms ranging from 10 years to 20 years and the Partnership recognizes the amortization expense associated with these contracts in Other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amortizes all other gas gathering contracts, or contract intangibles, over the period of economic benefit based upon expected revenues over the life of the contract. The useful life of these contracts ranges from 3 years to 25 years. The Partnership recognizes the amortization expense associated with these contracts in Depreciation and amortization expense.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also has rights-of-way associated with municipal easements and easements granted within existing rights-of-way. The Partnership amortizes these intangible assets over the shorter of the contractual term of the rights-of-way or the estimated useful life of the gathering system. The contractual terms of the rights-of-way range from 20 years to 30 years and the Partnership recognizes the amortization expense associated with these rights-of-way assets in Depreciation and amortization expense.</w:t>
      </w:r>
    </w:p>
    <w:p>
      <w:pPr>
        <w:pStyle w:val="TextBody"/>
        <w:spacing w:lineRule="auto" w:line="288" w:before="120" w:after="283"/>
        <w:rPr/>
      </w:pPr>
      <w:r>
        <w:rPr>
          <w:rFonts w:ascii="Times New Roman;sans-serif" w:hAnsi="Times New Roman;sans-serif"/>
          <w:b/>
          <w:i/>
          <w:color w:val="000000"/>
          <w:sz w:val="20"/>
        </w:rPr>
        <w:t>Equity Method Investments.</w:t>
      </w:r>
      <w:r>
        <w:rPr>
          <w:color w:val="000000"/>
        </w:rPr>
        <w:t> </w:t>
      </w:r>
      <w:r>
        <w:rPr>
          <w:rFonts w:ascii="Times New Roman;sans-serif" w:hAnsi="Times New Roman;sans-serif"/>
          <w:b w:val="false"/>
          <w:color w:val="000000"/>
          <w:sz w:val="20"/>
        </w:rPr>
        <w:t>The Partnership accounts for investments in which it exercises significant influence using the equity method so long as it (i) does not control the investee and (ii) is not the primary beneficiary. The Partnership reflects these investments in its consolidated balance sheets under the caption titled “investment in equity method investees.”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recognizes an other-than-temporary impairment for losses in the value of equity method investees when evidence indicates that the carrying amount is no longer supportable. Evidence of a loss in value might include, but is not limited to, absence of an ability to recover the carrying amount of the investment or an inability of the equity method investee to sustain an earnings capacity that would justify the carrying amount of the investment. A current fair value of an investment that is less than its carrying amount may indicate a loss in value of the investment. The Partnership evaluates its equity method investments whenever a triggering event exists that would indicate a need to assess the investment for potential impairment.</w:t>
      </w:r>
    </w:p>
    <w:p>
      <w:pPr>
        <w:pStyle w:val="TextBody"/>
        <w:spacing w:lineRule="auto" w:line="288" w:before="120" w:after="283"/>
        <w:rPr/>
      </w:pPr>
      <w:r>
        <w:rPr>
          <w:rFonts w:ascii="Times New Roman;sans-serif" w:hAnsi="Times New Roman;sans-serif"/>
          <w:b/>
          <w:i/>
          <w:color w:val="000000"/>
          <w:sz w:val="20"/>
        </w:rPr>
        <w:t>Impairment of Long-Lived Assets.</w:t>
      </w:r>
      <w:r>
        <w:rPr>
          <w:color w:val="000000"/>
        </w:rPr>
        <w:t> </w:t>
      </w:r>
      <w:r>
        <w:rPr>
          <w:rFonts w:ascii="Times New Roman;sans-serif" w:hAnsi="Times New Roman;sans-serif"/>
          <w:b w:val="false"/>
          <w:color w:val="000000"/>
          <w:sz w:val="20"/>
        </w:rPr>
        <w:t>The Partnership tests assets for impairment when events or circumstances indicate the carrying value of a long-lived asset may not be recoverable. The carrying value of a long-lived asset (except goodwill) is not recoverable if it exceeds the sum of the undiscounted cash flows expected to result from its use and eventual disposition. If the Partnership concludes that an assets carrying value will not be recovered through future cash flows, the Partnership recognizes an impairment loss on the long-lived asset equal to the amount by which the carrying value exceeds its fair value. The Partnership determines fair value using a combination of market-based and income-based approaches.</w:t>
      </w:r>
    </w:p>
    <w:p>
      <w:pPr>
        <w:pStyle w:val="TextBody"/>
        <w:spacing w:lineRule="auto" w:line="288" w:before="120" w:after="283"/>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The Partnership is subject to various federal, state and local laws and regulations relating to the protection of the environment. Liabilities for loss contingencies, including environmental remediation costs, arising from claims, assessments, litigation, fines and penalties and other sources are charged to expense when it is probable that a liability has been incurred and the amount of the assessment and/or remediation can be reasonably estimated. The Partnership accrues 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pStyle w:val="TextBody"/>
        <w:spacing w:lineRule="auto" w:line="288" w:before="120" w:after="283"/>
        <w:rPr/>
      </w:pPr>
      <w:r>
        <w:rPr>
          <w:rFonts w:ascii="Times New Roman;sans-serif" w:hAnsi="Times New Roman;sans-serif"/>
          <w:b/>
          <w:i/>
          <w:color w:val="000000"/>
          <w:sz w:val="20"/>
        </w:rPr>
        <w:t>Commitments and Contingencies.</w:t>
      </w:r>
      <w:r>
        <w:rPr>
          <w:color w:val="000000"/>
        </w:rPr>
        <w:t> </w:t>
      </w:r>
      <w:r>
        <w:rPr>
          <w:rFonts w:ascii="Times New Roman;sans-serif" w:hAnsi="Times New Roman;sans-serif"/>
          <w:b w:val="false"/>
          <w:color w:val="000000"/>
          <w:sz w:val="20"/>
        </w:rPr>
        <w:t>When required, the Partnership records accruals for loss contingencies in accordance with FASB ASC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Such determinations are subject to interpretations of current facts and circumstances, forecasts of future events and estimates of the financial impacts of such events.</w:t>
      </w:r>
    </w:p>
    <w:p>
      <w:pPr>
        <w:pStyle w:val="TextBody"/>
        <w:spacing w:lineRule="auto" w:line="288" w:before="120" w:after="283"/>
        <w:rPr/>
      </w:pPr>
      <w:r>
        <w:rPr>
          <w:rFonts w:ascii="Times New Roman;sans-serif" w:hAnsi="Times New Roman;sans-serif"/>
          <w:b/>
          <w:i/>
          <w:color w:val="000000"/>
          <w:sz w:val="20"/>
        </w:rPr>
        <w:t>Noncontrolling Interest and Mezzanine Capital</w:t>
      </w:r>
      <w:r>
        <w:rPr>
          <w:rFonts w:ascii="Times New Roman;sans-serif" w:hAnsi="Times New Roman;sans-serif"/>
          <w:b w:val="false"/>
          <w:color w:val="000000"/>
          <w:sz w:val="20"/>
        </w:rPr>
        <w:t>. A noncontrolling interest represents the portion of a consolidated subsidiary that is owned by a third party. Amounts are adjusted by the noncontrolling interest holder’s proportionate share of the subsidiary’s earnings or losses each period and any distributions that are paid. A noncontrolling interest is reported as a component of equity unless the noncontrolling interest is considered redeemable, in which case the noncontrolling interest is recorded between liabilities and equity (mezzanine or temporary equity) in the Partnership’s consolidated balance sheet.</w:t>
      </w:r>
    </w:p>
    <w:p>
      <w:pPr>
        <w:pStyle w:val="TextBody"/>
        <w:spacing w:lineRule="auto" w:line="288" w:before="120" w:after="283"/>
        <w:rPr/>
      </w:pPr>
      <w:r>
        <w:rPr>
          <w:rFonts w:ascii="Times New Roman;sans-serif" w:hAnsi="Times New Roman;sans-serif"/>
          <w:b/>
          <w:i/>
          <w:color w:val="000000"/>
          <w:sz w:val="20"/>
        </w:rPr>
        <w:t>Revenue.</w:t>
      </w:r>
      <w:r>
        <w:rPr>
          <w:color w:val="000000"/>
        </w:rPr>
        <w:t> </w:t>
      </w:r>
      <w:r>
        <w:rPr>
          <w:rFonts w:ascii="Times New Roman;sans-serif" w:hAnsi="Times New Roman;sans-serif"/>
          <w:b w:val="false"/>
          <w:color w:val="000000"/>
          <w:sz w:val="20"/>
        </w:rPr>
        <w:t>The Partnership provides gathering and/or processing services principally under contracts that contain one or more of the following arrangements described below:</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Fee-based arrangements.</w:t>
      </w:r>
      <w:r>
        <w:rPr>
          <w:color w:val="000000"/>
        </w:rPr>
        <w:t xml:space="preserve"> </w:t>
      </w:r>
      <w:r>
        <w:rPr>
          <w:rFonts w:ascii="Times New Roman;sans-serif" w:hAnsi="Times New Roman;sans-serif"/>
          <w:b w:val="false"/>
          <w:color w:val="000000"/>
          <w:sz w:val="20"/>
        </w:rPr>
        <w:t>Under fee-based arrangements, the Partnership receives a fee or fees for one or more of the following services (i) natural gas gathering, treating, transporting, compressing and/or processing and (ii) crude oil and/or produced water gathering.</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Percent-of-proceeds arrangements.</w:t>
      </w:r>
      <w:r>
        <w:rPr>
          <w:color w:val="000000"/>
        </w:rPr>
        <w:t xml:space="preserve"> </w:t>
      </w:r>
      <w:r>
        <w:rPr>
          <w:rFonts w:ascii="Times New Roman;sans-serif" w:hAnsi="Times New Roman;sans-serif"/>
          <w:b w:val="false"/>
          <w:color w:val="000000"/>
          <w:sz w:val="20"/>
        </w:rPr>
        <w:t xml:space="preserve">Under percent-of-proceeds arrangements, the Partnership generally purchases natural gas from producers at the wellhead, or other receipt points, gathers the wellhead natural gas through its gathering system, treats and compresses the natural gas, processes the natural gas and/or sells the natural gas to a third party for processing. The Partnership then remits to its producers an agreed-upon percentage of the actual proceeds received from sales of the residue natural gas and NGLs. Certain of these arrangements may also result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returning all or a portion of the residue natural gas and/or the NGLs to the producer, in lieu of returning sales proceeds. The margins earned are directly related to the volume of natural gas that flows through the system and the price at which the Partnership is able to sell the residue natural gas and NGLs.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the Partnership’s contracts have a single performance obligation which is either to provide gathering services (an integrated service) or sell natural gas, NGLs and condensate, which are both satisfied when the related natural gas, crude oil and produced water are received and transferred to an agreed upon delivery point. The Partnership also has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the Partnership allocates the contract’s transaction price to each performance obligation using its best estimate of the standalone selling price of each service in the contract.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Performance obligations for gathering services are generally satisfied over time. The Partnership utilizes either an output method (i.e., measure of progress) for guaranteed, stand-ready service contracts or an asset/system delivery time estimate for non-guaranteed, as-available service contracts.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Performance obligations for the sale of natural gas, NGLs and condensate are satisfied at a point in time. There are no significant judgments for these transactions because the customer obtains control based on an agreed upon delivery point.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are typically billed on a monthly basis and the Partnership does not offer extended payment terms. The Partnership does not have contracts with financing components.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contracts described above, the Partnership reflects its revenues in the financial statement captions described below.</w:t>
      </w:r>
    </w:p>
    <w:tbl>
      <w:tblPr>
        <w:tblW w:w="10205" w:type="dxa"/>
        <w:jc w:val="left"/>
        <w:tblInd w:w="0" w:type="dxa"/>
        <w:tblCellMar>
          <w:top w:w="28" w:type="dxa"/>
          <w:left w:w="28" w:type="dxa"/>
          <w:bottom w:w="28" w:type="dxa"/>
          <w:right w:w="28" w:type="dxa"/>
        </w:tblCellMar>
      </w:tblPr>
      <w:tblGrid>
        <w:gridCol w:w="841"/>
        <w:gridCol w:w="695"/>
        <w:gridCol w:w="699"/>
        <w:gridCol w:w="109"/>
        <w:gridCol w:w="109"/>
        <w:gridCol w:w="109"/>
        <w:gridCol w:w="2238"/>
        <w:gridCol w:w="2238"/>
        <w:gridCol w:w="3167"/>
      </w:tblGrid>
      <w:tr>
        <w:trPr/>
        <w:tc>
          <w:tcPr>
            <w:tcW w:w="84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316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caption: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Revenue description:</w:t>
            </w:r>
          </w:p>
        </w:tc>
      </w:tr>
      <w:tr>
        <w:trPr/>
        <w:tc>
          <w:tcPr>
            <w:tcW w:w="2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r>
              <w:rPr>
                <w:color w:val="000000"/>
              </w:rPr>
              <w:t>•</w:t>
            </w:r>
            <w:r>
              <w:rPr>
                <w:rFonts w:ascii="Times New Roman;sans-serif" w:hAnsi="Times New Roman;sans-serif"/>
                <w:b w:val="false"/>
                <w:color w:val="000000"/>
                <w:sz w:val="20"/>
              </w:rPr>
              <w:t>Revenue earned from fee-based gathering, compression, treating and processing services;</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the sale of physical natural gas purchased from customers percent-of- proceeds arrangements (Costs are presented within cost of natural gas and NGLs);</w:t>
            </w:r>
          </w:p>
          <w:p>
            <w:pPr>
              <w:pStyle w:val="TableContents"/>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sale of condensate and NGLs retained from gathering services (Costs are presented within operation and maintenance expense); and</w:t>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360"/>
              <w:jc w:val="left"/>
              <w:rPr/>
            </w:pPr>
            <w:r>
              <w:rPr>
                <w:color w:val="000000"/>
              </w:rPr>
              <w:t>•</w:t>
            </w:r>
            <w:r>
              <w:rPr>
                <w:rFonts w:ascii="Times New Roman;sans-serif" w:hAnsi="Times New Roman;sans-serif"/>
                <w:b w:val="false"/>
                <w:color w:val="000000"/>
                <w:sz w:val="20"/>
              </w:rPr>
              <w:t>Customer reimbursements to the Partnership for costs incurred by the Partnership on customer’s behalf (Recorded on a gross basis).</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the Partnership’s gathering and/or processing agreements provide for monthly or annual MVCs. Under these MVCs, customers agree to ship and/or process a minimum volume of production on its gathering systems or to pay a minimum monetary amount over certain periods during the term of the MVC. A customer must make a shortfall payment to the Partnership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recognizes customer obligations under their MVCs as revenue and contract assets when (i) it considers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 this determination, the Partnership considers both quantitative and qualitative facts and circumstances, including, but not limited to, contract terms, capacity of the associated pipeline or receipt point and/or expectations regarding future investment, drilling and production.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the Partnership’s revenue is derived from long-term, fee-based contracts with its customers, which include original terms of up to 25 years. The Partnership recognizes revenue earned from fee-based gathering, compression, treating and processing services in gathering services and related fees. The Partnership also earns revenue in the Rockies, Piceance and Permian reporting segments from the sale of physical natural gas purchased from its customers under certain percent-of-</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proceeds arrangements. Under ASC Topic 606, these gathering contracts are presented net within cost of natural gas and NGLs. The Partnership sells natural gas that it retains from certain customers in the Barnett reporting segment to offset the power expenses of the electric-driven compression on the DFW Midstream system. The Partnership also sells condensate and NGLs retained from certain of its gathering services in the Piceance and Permian reporting segments. Revenues from the sale of natural gas and condensate are recognized in Natural gas, NGLs and condensate sales; the associated expense is included in Operation and maintenance expense. Certain customers reimburse the Partnership for costs incurred on their behalf. The Partnership records costs incurred and reimbursed by its customers on a gross basis, with the revenue component recognized in Other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transaction price in the Partnership’s contracts is primarily based on the volume of natural gas, crude oil or produced water transferred by its gathering systems to the customer’s agreed upon delivery point multiplied by the contractual rate. For contracts that include MVCs, variable consideration up to the MVC will be included in the transaction price. For contracts that do not include MVCs, the Partnership does not estimate variable consideration because the performance obligations are completed and settled on a daily basis. For contracts containing noncash consideration such as fuel received in-kind, the Partnership measures the transaction price at the point of sale when the volume, mix and market price of the commodities are known.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has contracts with MVCs that are variable and constrained. Contracts with longer than monthly MVCs are reviewed on a quarterly basis and adjustments to those estimates are made during each respective reporting period, if necessary.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allocated if the contract contains more than one performance obligation such as contracts that include MVCs. The transaction price allocated is based on the MVC for the applicable measurement period.</w:t>
      </w:r>
    </w:p>
    <w:p>
      <w:pPr>
        <w:pStyle w:val="TextBody"/>
        <w:spacing w:lineRule="auto" w:line="288" w:before="120" w:after="283"/>
        <w:rPr/>
      </w:pPr>
      <w:r>
        <w:rPr>
          <w:rFonts w:ascii="Times New Roman;sans-serif" w:hAnsi="Times New Roman;sans-serif"/>
          <w:b/>
          <w:i/>
          <w:color w:val="000000"/>
          <w:sz w:val="20"/>
        </w:rPr>
        <w:t>Unit-Based Compensation. </w:t>
      </w:r>
      <w:r>
        <w:rPr>
          <w:rFonts w:ascii="Times New Roman;sans-serif" w:hAnsi="Times New Roman;sans-serif"/>
          <w:b w:val="false"/>
          <w:color w:val="000000"/>
          <w:sz w:val="20"/>
        </w:rPr>
        <w:t>For awards of unit-based compensation, the Partnership determines a grant date fair value and recognizes the related compensation expense in the statements of operations over the vesting period for each respective award.</w:t>
      </w:r>
    </w:p>
    <w:p>
      <w:pPr>
        <w:pStyle w:val="TextBody"/>
        <w:spacing w:lineRule="auto" w:line="288" w:before="120" w:after="283"/>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The Partnership is generally not subject to federal and state income taxes, except as noted below. However, its unitholders are individually responsible for paying federal and state income taxes on their share of its taxable income. Net income or loss for GAAP purposes may differ significantly from taxable income reportable to its unitholders as a result of differences between the tax basis and the GAAP basis of assets and liabilities and the taxable income allocation requirements of the Partnership’s governing documents. The aggregate difference in the basis of the Partnership’s net assets for financial and income tax purposes cannot be readily determined as the Partnership does not have access to the information about each partner’s tax attributes related to the Partnership.</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general, legal entities that are chartered, organized or conducting business in the state of Texas are subject to a franchise tax (the “Texas Margin Tax”). The Texas Margin Tax has the characteristics of an income tax because it is determined by applying a tax rate to a tax base that considers both revenues and expenses. The Partnership’s financial statements reflect provisions for these tax obligations.</w:t>
      </w:r>
    </w:p>
    <w:p>
      <w:pPr>
        <w:pStyle w:val="TextBody"/>
        <w:spacing w:lineRule="auto" w:line="288" w:before="120" w:after="283"/>
        <w:rPr/>
      </w:pPr>
      <w:r>
        <w:rPr>
          <w:rFonts w:ascii="Times New Roman;sans-serif" w:hAnsi="Times New Roman;sans-serif"/>
          <w:b/>
          <w:i/>
          <w:color w:val="000000"/>
          <w:sz w:val="20"/>
        </w:rPr>
        <w:t>Interest Rate Swaps.</w:t>
      </w:r>
      <w:r>
        <w:rPr>
          <w:color w:val="000000"/>
        </w:rPr>
        <w:t xml:space="preserve"> </w:t>
      </w:r>
      <w:r>
        <w:rPr>
          <w:rFonts w:ascii="Times New Roman;sans-serif" w:hAnsi="Times New Roman;sans-serif"/>
          <w:b w:val="false"/>
          <w:color w:val="000000"/>
          <w:sz w:val="20"/>
        </w:rPr>
        <w:t>Interest rate swap agreements are reported as either assets or liabilities on the consolidated balance sheet at fair value. Interest rate swap agreements are not designated as cash-flow hedges, and accordingly, the changes in the fair value are recorded in earnings. The Partnership does not use interest rate swap agreements for speculative purposes.</w:t>
      </w:r>
    </w:p>
    <w:p>
      <w:pPr>
        <w:pStyle w:val="TextBody"/>
        <w:spacing w:lineRule="auto" w:line="288" w:before="120" w:after="283"/>
        <w:rPr/>
      </w:pPr>
      <w:r>
        <w:rPr>
          <w:rFonts w:ascii="Times New Roman;sans-serif" w:hAnsi="Times New Roman;sans-serif"/>
          <w:b/>
          <w:i/>
          <w:color w:val="000000"/>
          <w:sz w:val="20"/>
        </w:rPr>
        <w:t>Reclassifications.</w:t>
      </w:r>
      <w:r>
        <w:rPr>
          <w:color w:val="000000"/>
        </w:rPr>
        <w:t xml:space="preserve"> </w:t>
      </w:r>
      <w:r>
        <w:rPr>
          <w:rFonts w:ascii="Times New Roman;sans-serif" w:hAnsi="Times New Roman;sans-serif"/>
          <w:b w:val="false"/>
          <w:color w:val="000000"/>
          <w:sz w:val="20"/>
        </w:rPr>
        <w:t>Certain reclassifications have been made to prior period amounts to conform to current period financial statement presentation. These reclassifications had no effect on the consolidated financial position, results of operations or cash flows of the Partnership.</w:t>
      </w:r>
    </w:p>
    <w:p>
      <w:pPr>
        <w:pStyle w:val="TextBody"/>
        <w:spacing w:lineRule="auto" w:line="288" w:before="120" w:after="283"/>
        <w:rPr/>
      </w:pPr>
      <w:r>
        <w:rPr>
          <w:rFonts w:ascii="Times New Roman;sans-serif" w:hAnsi="Times New Roman;sans-serif"/>
          <w:b/>
          <w:i/>
          <w:color w:val="000000"/>
          <w:sz w:val="20"/>
        </w:rPr>
        <w:t>New accounting standards implemented in this Annual Report.</w:t>
      </w:r>
      <w:r>
        <w:rPr>
          <w:color w:val="000000"/>
        </w:rPr>
        <w: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the Partnership’s consolidated financial statements or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amendments should be applied using a modified retrospective approach. The adoption of ASU 2016-13 on January 1, 2020 did not have a material impact on the Partnership’s consolidated financial statements or disclosures.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New accounting standards not yet implemented in this Annual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ASU No. 2020-6 Debt – Debt with Conversion and Other Options (Subtopic 470-20) and Derivatives and Hedging – Contracts in Entity’s Own Equity (Subtopic 815 – 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is currently evaluating the provisions of ASU 2020-6 to determine its impact on the Partnership’s consolidated financial statements and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is currently evaluating the provisions of ASU 2020-4 to determine its impact on the Partnership’s consolidated financial statements and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expected to be recognized over the remaining contract period related to performance obligations that are unsatisfied and are comprised of estimated MVC shortfall payments.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applies the practical expedient in paragraph 606-10-50-14 of Topic 606 for certain arrangements that are considered optional purchases (i.e., there is no enforceable obligation for the customer to make purchases) and those amounts are therefore excluded from the table.</w:t>
      </w:r>
    </w:p>
    <w:tbl>
      <w:tblPr>
        <w:tblW w:w="10205" w:type="dxa"/>
        <w:jc w:val="left"/>
        <w:tblInd w:w="0" w:type="dxa"/>
        <w:tblCellMar>
          <w:top w:w="28" w:type="dxa"/>
          <w:left w:w="28" w:type="dxa"/>
          <w:bottom w:w="28" w:type="dxa"/>
          <w:right w:w="28" w:type="dxa"/>
        </w:tblCellMar>
      </w:tblPr>
      <w:tblGrid>
        <w:gridCol w:w="881"/>
        <w:gridCol w:w="774"/>
        <w:gridCol w:w="7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4"/>
        <w:gridCol w:w="490"/>
        <w:gridCol w:w="188"/>
      </w:tblGrid>
      <w:tr>
        <w:trPr/>
        <w:tc>
          <w:tcPr>
            <w:tcW w:w="881"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3" w:type="dxa"/>
            <w:gridSpan w:val="3"/>
            <w:tcBorders/>
            <w:shd w:fill="CFF0FC"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Revenue by Category</w:t>
      </w:r>
      <w:r>
        <w:rPr>
          <w:rFonts w:ascii="Times New Roman;sans-serif" w:hAnsi="Times New Roman;sans-serif"/>
          <w:b w:val="false"/>
          <w:color w:val="000000"/>
          <w:sz w:val="20"/>
        </w:rPr>
        <w:t>. In the following table, revenue is disaggregated by geographic area and major products and services. For more detailed information about reportable segments, see Note 18 -Segment Information.</w:t>
      </w:r>
    </w:p>
    <w:tbl>
      <w:tblPr>
        <w:tblW w:w="10205" w:type="dxa"/>
        <w:jc w:val="left"/>
        <w:tblInd w:w="0" w:type="dxa"/>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1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62,567 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62,567 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74,823 </w:t>
            </w:r>
          </w:p>
        </w:tc>
        <w:tc>
          <w:tcPr>
            <w:tcW w:w="2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48,279 </w:t>
            </w:r>
          </w:p>
        </w:tc>
        <w:tc>
          <w:tcPr>
            <w:tcW w:w="26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21,985 </w:t>
            </w:r>
          </w:p>
        </w:tc>
        <w:tc>
          <w:tcPr>
            <w:tcW w:w="12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145,087 </w:t>
            </w:r>
          </w:p>
        </w:tc>
        <w:tc>
          <w:tcPr>
            <w:tcW w:w="15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28,727 </w:t>
            </w:r>
          </w:p>
        </w:tc>
        <w:tc>
          <w:tcPr>
            <w:tcW w:w="2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40,848 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95,235 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281,705 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83,107 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302,792 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302,792 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49,319 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Contract balances</w:t>
      </w:r>
      <w:r>
        <w:rPr>
          <w:rFonts w:ascii="Times New Roman;sans-serif" w:hAnsi="Times New Roman;sans-serif"/>
          <w:b w:val="false"/>
          <w:color w:val="000000"/>
          <w:sz w:val="20"/>
        </w:rPr>
        <w:t>. Contract assets relate to the Partnership’s rights to consideration for work completed but not billed at the reporting date and consist of unbilled activity associated with contributions in aid of construction. Contract assets are transferred to trade receivables when the rights become unconditional. The following table provides information about contract assets from contracts with customers</w:t>
      </w:r>
      <w:r>
        <w:rPr>
          <w:rFonts w:ascii="Times New Roman;sans-serif" w:hAnsi="Times New Roman;sans-serif"/>
          <w:b w:val="false"/>
          <w:color w:val="000000"/>
          <w:sz w:val="24"/>
        </w:rPr>
        <w:t>:</w:t>
      </w:r>
    </w:p>
    <w:tbl>
      <w:tblPr>
        <w:tblW w:w="6400" w:type="dxa"/>
        <w:jc w:val="left"/>
        <w:tblInd w:w="0" w:type="dxa"/>
        <w:tblCellMar>
          <w:top w:w="28" w:type="dxa"/>
          <w:left w:w="28" w:type="dxa"/>
          <w:bottom w:w="28" w:type="dxa"/>
          <w:right w:w="28" w:type="dxa"/>
        </w:tblCellMar>
      </w:tblPr>
      <w:tblGrid>
        <w:gridCol w:w="1096"/>
        <w:gridCol w:w="963"/>
        <w:gridCol w:w="970"/>
        <w:gridCol w:w="304"/>
        <w:gridCol w:w="1039"/>
        <w:gridCol w:w="157"/>
        <w:gridCol w:w="109"/>
        <w:gridCol w:w="109"/>
        <w:gridCol w:w="109"/>
        <w:gridCol w:w="332"/>
        <w:gridCol w:w="970"/>
        <w:gridCol w:w="242"/>
      </w:tblGrid>
      <w:tr>
        <w:trPr/>
        <w:tc>
          <w:tcPr>
            <w:tcW w:w="1096"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 beginning balance</w:t>
            </w:r>
          </w:p>
        </w:tc>
        <w:tc>
          <w:tcPr>
            <w:tcW w:w="30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3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w:t>
            </w:r>
          </w:p>
        </w:tc>
        <w:tc>
          <w:tcPr>
            <w:tcW w:w="13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(20,710)</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 ending balance</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receivables with customers totaled $50.5 million and contract assets totaled $10.3 million which were included in the Accounts receivable caption on the consolidated balance sheet.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2020, receivables with customers totaled $57.5 million and contract assets totaled $2.0 million which were included in the Accounts receivable caption on the consolidated balance sheet.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(deferred revenue) relate to the advance consideration received from customers primarily for contributions in aid of construction. The Partnership recognizes contract liabilities under these arrangements in revenue over the contract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PROPERTY, PLANT AND EQUIPMENT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Details on the Partnership’s property, plant and equipment follow.</w:t>
      </w:r>
    </w:p>
    <w:tbl>
      <w:tblPr>
        <w:tblW w:w="8097" w:type="dxa"/>
        <w:jc w:val="left"/>
        <w:tblInd w:w="0" w:type="dxa"/>
        <w:tblCellMar>
          <w:top w:w="28" w:type="dxa"/>
          <w:left w:w="28" w:type="dxa"/>
          <w:bottom w:w="28" w:type="dxa"/>
          <w:right w:w="28" w:type="dxa"/>
        </w:tblCellMar>
      </w:tblPr>
      <w:tblGrid>
        <w:gridCol w:w="1712"/>
        <w:gridCol w:w="1502"/>
        <w:gridCol w:w="1511"/>
        <w:gridCol w:w="244"/>
        <w:gridCol w:w="1130"/>
        <w:gridCol w:w="126"/>
        <w:gridCol w:w="109"/>
        <w:gridCol w:w="109"/>
        <w:gridCol w:w="109"/>
        <w:gridCol w:w="243"/>
        <w:gridCol w:w="1125"/>
        <w:gridCol w:w="177"/>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44"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2,225,267 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2,213,501 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49,082 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60,443 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374"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2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10,440 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7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51,863 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51,276 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74"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2,336,856 </w:t>
            </w:r>
          </w:p>
        </w:tc>
        <w:tc>
          <w:tcPr>
            <w:tcW w:w="12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2,335,660 </w:t>
            </w:r>
          </w:p>
        </w:tc>
        <w:tc>
          <w:tcPr>
            <w:tcW w:w="177"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(610,774)</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(521,850)</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4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1,726,082 </w:t>
            </w:r>
          </w:p>
        </w:tc>
        <w:tc>
          <w:tcPr>
            <w:tcW w:w="1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1,813,810 </w:t>
            </w:r>
          </w:p>
        </w:tc>
        <w:tc>
          <w:tcPr>
            <w:tcW w:w="17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carrying amount of a long-lived asset is not recoverable, an impairment is recognized equal to the excess of the asset’s carrying value over its fair value, which is based on inputs that are not observable in the market, and thus represent Level 3 inputs under GAAP’s fair value hierarchy. The Partnership recognized $10.2 million and $13.1 million of impairments during the fiscal years ended December 31, 2021 and 2020, respectively. Due to the volatility of the inputs used, the Partnership cannot predict the likelihood of any future impairment.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Partnership follow.</w:t>
      </w:r>
    </w:p>
    <w:tbl>
      <w:tblPr>
        <w:tblW w:w="4329" w:type="dxa"/>
        <w:jc w:val="left"/>
        <w:tblInd w:w="0" w:type="dxa"/>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5. AMORTIZING INTANGIBLE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Details regarding the Partnership’s intangible assets, all of which are subject to amortization, follow.</w:t>
      </w:r>
    </w:p>
    <w:tbl>
      <w:tblPr>
        <w:tblW w:w="8534" w:type="dxa"/>
        <w:jc w:val="left"/>
        <w:tblInd w:w="0" w:type="dxa"/>
        <w:tblCellMar>
          <w:top w:w="28" w:type="dxa"/>
          <w:left w:w="28" w:type="dxa"/>
          <w:bottom w:w="28" w:type="dxa"/>
          <w:right w:w="28" w:type="dxa"/>
        </w:tblCellMar>
      </w:tblPr>
      <w:tblGrid>
        <w:gridCol w:w="1031"/>
        <w:gridCol w:w="906"/>
        <w:gridCol w:w="912"/>
        <w:gridCol w:w="331"/>
        <w:gridCol w:w="1298"/>
        <w:gridCol w:w="171"/>
        <w:gridCol w:w="109"/>
        <w:gridCol w:w="109"/>
        <w:gridCol w:w="109"/>
        <w:gridCol w:w="352"/>
        <w:gridCol w:w="1506"/>
        <w:gridCol w:w="182"/>
        <w:gridCol w:w="109"/>
        <w:gridCol w:w="109"/>
        <w:gridCol w:w="109"/>
        <w:gridCol w:w="211"/>
        <w:gridCol w:w="826"/>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gas gathering contracts</w:t>
            </w:r>
          </w:p>
        </w:tc>
        <w:tc>
          <w:tcPr>
            <w:tcW w:w="33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w:t>
            </w:r>
          </w:p>
        </w:tc>
        <w:tc>
          <w:tcPr>
            <w:tcW w:w="1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intangibles</w:t>
            </w:r>
          </w:p>
        </w:tc>
        <w:tc>
          <w:tcPr>
            <w:tcW w:w="16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278,448 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(217,245)</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Rights-of-way</w:t>
            </w:r>
          </w:p>
        </w:tc>
        <w:tc>
          <w:tcPr>
            <w:tcW w:w="1629"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159,916 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(55,385)</w:t>
            </w:r>
          </w:p>
        </w:tc>
        <w:tc>
          <w:tcPr>
            <w:tcW w:w="1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462,559 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(289,632)</w:t>
            </w:r>
          </w:p>
        </w:tc>
        <w:tc>
          <w:tcPr>
            <w:tcW w:w="1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172,927 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534" w:type="dxa"/>
        <w:jc w:val="left"/>
        <w:tblInd w:w="0" w:type="dxa"/>
        <w:tblCellMar>
          <w:top w:w="28" w:type="dxa"/>
          <w:left w:w="28" w:type="dxa"/>
          <w:bottom w:w="28" w:type="dxa"/>
          <w:right w:w="28" w:type="dxa"/>
        </w:tblCellMar>
      </w:tblPr>
      <w:tblGrid>
        <w:gridCol w:w="1031"/>
        <w:gridCol w:w="906"/>
        <w:gridCol w:w="912"/>
        <w:gridCol w:w="331"/>
        <w:gridCol w:w="1298"/>
        <w:gridCol w:w="171"/>
        <w:gridCol w:w="109"/>
        <w:gridCol w:w="109"/>
        <w:gridCol w:w="109"/>
        <w:gridCol w:w="352"/>
        <w:gridCol w:w="1506"/>
        <w:gridCol w:w="182"/>
        <w:gridCol w:w="109"/>
        <w:gridCol w:w="109"/>
        <w:gridCol w:w="109"/>
        <w:gridCol w:w="211"/>
        <w:gridCol w:w="826"/>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gas gathering contracts</w:t>
            </w:r>
          </w:p>
        </w:tc>
        <w:tc>
          <w:tcPr>
            <w:tcW w:w="33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w:t>
            </w:r>
          </w:p>
        </w:tc>
        <w:tc>
          <w:tcPr>
            <w:tcW w:w="1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intangibles</w:t>
            </w:r>
          </w:p>
        </w:tc>
        <w:tc>
          <w:tcPr>
            <w:tcW w:w="16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278,448 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(195,243)</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83,205 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Rights-of-way</w:t>
            </w:r>
          </w:p>
        </w:tc>
        <w:tc>
          <w:tcPr>
            <w:tcW w:w="1629"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157,271 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(49,041)</w:t>
            </w:r>
          </w:p>
        </w:tc>
        <w:tc>
          <w:tcPr>
            <w:tcW w:w="18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108,230 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459,914 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(260,348)</w:t>
            </w:r>
          </w:p>
        </w:tc>
        <w:tc>
          <w:tcPr>
            <w:tcW w:w="1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199,566 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recognized amortization expense of its favorable gas gathering contracts in Other revenues as follows:</w:t>
      </w:r>
    </w:p>
    <w:tbl>
      <w:tblPr>
        <w:tblW w:w="6792" w:type="dxa"/>
        <w:jc w:val="left"/>
        <w:tblInd w:w="0" w:type="dxa"/>
        <w:tblCellMar>
          <w:top w:w="28" w:type="dxa"/>
          <w:left w:w="28" w:type="dxa"/>
          <w:bottom w:w="28" w:type="dxa"/>
          <w:right w:w="28" w:type="dxa"/>
        </w:tblCellMar>
      </w:tblPr>
      <w:tblGrid>
        <w:gridCol w:w="1733"/>
        <w:gridCol w:w="1522"/>
        <w:gridCol w:w="1530"/>
        <w:gridCol w:w="218"/>
        <w:gridCol w:w="482"/>
        <w:gridCol w:w="112"/>
        <w:gridCol w:w="112"/>
        <w:gridCol w:w="112"/>
        <w:gridCol w:w="112"/>
        <w:gridCol w:w="218"/>
        <w:gridCol w:w="482"/>
        <w:gridCol w:w="159"/>
      </w:tblGrid>
      <w:tr>
        <w:trPr/>
        <w:tc>
          <w:tcPr>
            <w:tcW w:w="173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favorable gas gathering contracts</w:t>
            </w:r>
          </w:p>
        </w:tc>
        <w:tc>
          <w:tcPr>
            <w:tcW w:w="218"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recognized amortization expense of its contract and right of way intangibles in costs and expenses as follows:</w:t>
      </w:r>
    </w:p>
    <w:tbl>
      <w:tblPr>
        <w:tblW w:w="6173" w:type="dxa"/>
        <w:jc w:val="left"/>
        <w:tblInd w:w="0" w:type="dxa"/>
        <w:tblCellMar>
          <w:top w:w="28" w:type="dxa"/>
          <w:left w:w="28" w:type="dxa"/>
          <w:bottom w:w="28" w:type="dxa"/>
          <w:right w:w="28" w:type="dxa"/>
        </w:tblCellMar>
      </w:tblPr>
      <w:tblGrid>
        <w:gridCol w:w="1347"/>
        <w:gridCol w:w="1183"/>
        <w:gridCol w:w="1189"/>
        <w:gridCol w:w="211"/>
        <w:gridCol w:w="721"/>
        <w:gridCol w:w="109"/>
        <w:gridCol w:w="109"/>
        <w:gridCol w:w="109"/>
        <w:gridCol w:w="109"/>
        <w:gridCol w:w="211"/>
        <w:gridCol w:w="721"/>
        <w:gridCol w:w="154"/>
      </w:tblGrid>
      <w:tr>
        <w:trPr/>
        <w:tc>
          <w:tcPr>
            <w:tcW w:w="1347"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contract intangibles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rights-of-way</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Partnership’s estimated aggregate annual amortization expected to be recognized as of December 31, 2021 for each of the five succeeding fiscal years follows.</w:t>
      </w:r>
    </w:p>
    <w:tbl>
      <w:tblPr>
        <w:tblW w:w="2137" w:type="dxa"/>
        <w:jc w:val="left"/>
        <w:tblInd w:w="0" w:type="dxa"/>
        <w:tblCellMar>
          <w:top w:w="28" w:type="dxa"/>
          <w:left w:w="28" w:type="dxa"/>
          <w:bottom w:w="28" w:type="dxa"/>
          <w:right w:w="28" w:type="dxa"/>
        </w:tblCellMar>
      </w:tblPr>
      <w:tblGrid>
        <w:gridCol w:w="342"/>
        <w:gridCol w:w="300"/>
        <w:gridCol w:w="304"/>
        <w:gridCol w:w="211"/>
        <w:gridCol w:w="82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has equity method investments in Double E and Ohio Gathering, the balances of which are included in the Investment in equity method investees caption on the consolidated balance sheets. Details of the Partnership’s equity method investments follows.</w:t>
      </w:r>
    </w:p>
    <w:tbl>
      <w:tblPr>
        <w:tblW w:w="4749" w:type="dxa"/>
        <w:jc w:val="left"/>
        <w:tblInd w:w="0" w:type="dxa"/>
        <w:tblCellMar>
          <w:top w:w="28" w:type="dxa"/>
          <w:left w:w="28" w:type="dxa"/>
          <w:bottom w:w="28" w:type="dxa"/>
          <w:right w:w="28" w:type="dxa"/>
        </w:tblCellMar>
      </w:tblPr>
      <w:tblGrid>
        <w:gridCol w:w="499"/>
        <w:gridCol w:w="437"/>
        <w:gridCol w:w="443"/>
        <w:gridCol w:w="276"/>
        <w:gridCol w:w="1081"/>
        <w:gridCol w:w="142"/>
        <w:gridCol w:w="109"/>
        <w:gridCol w:w="109"/>
        <w:gridCol w:w="109"/>
        <w:gridCol w:w="273"/>
        <w:gridCol w:w="1072"/>
        <w:gridCol w:w="199"/>
      </w:tblGrid>
      <w:tr>
        <w:trPr/>
        <w:tc>
          <w:tcPr>
            <w:tcW w:w="49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259,888 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392,740 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Double E. </w:t>
      </w:r>
      <w:r>
        <w:rPr>
          <w:rFonts w:ascii="Times New Roman;sans-serif" w:hAnsi="Times New Roman;sans-serif"/>
          <w:b w:val="false"/>
          <w:color w:val="000000"/>
          <w:sz w:val="20"/>
        </w:rPr>
        <w:t>The Partnership, through its wholly-owned subsidiary Summit Permian Transmission, LLC, has a 70% ownership in Double E Pipeline, LLC (the “Double E”).</w:t>
      </w:r>
      <w:r>
        <w:rPr>
          <w:color w:val="000000"/>
        </w:rPr>
        <w:t xml:space="preserve"> </w:t>
      </w:r>
      <w:r>
        <w:rPr>
          <w:rFonts w:ascii="Times New Roman;sans-serif" w:hAnsi="Times New Roman;sans-serif"/>
          <w:b w:val="false"/>
          <w:color w:val="000000"/>
          <w:sz w:val="20"/>
        </w:rPr>
        <w:t>Double E owns a long-haul natural gas pipeline (the “Double E Pipeline”) that provides transportation service for residue natural gas from multiple receipt points in the Delaware Basin to various delivery points in and around the Waha hub in Texas.</w:t>
      </w:r>
      <w:r>
        <w:rPr>
          <w:color w:val="000000"/>
        </w:rPr>
        <w:t xml:space="preserve"> </w:t>
      </w:r>
      <w:r>
        <w:rPr>
          <w:rFonts w:ascii="Times New Roman;sans-serif" w:hAnsi="Times New Roman;sans-serif"/>
          <w:b w:val="false"/>
          <w:color w:val="000000"/>
          <w:sz w:val="20"/>
        </w:rPr>
        <w:t xml:space="preserve">The Double E Pipeline commenced operations in November 2021 and during the years ended December 31, 2021 and 2020, the Partnership made cash investments of $148.7 million and $99.9 million, respectively, in Double E, with such amounts including $3.0 million and $2.7 million of capitalized interest, respectively.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Double E is deemed to be a variable interest entity as defined in GAAP. Summit Permian Transmission was not deemed to be the primary beneficiary of Double E due to the voting rights of Double E’s other owner regarding significant matters. The Partnership accounts for its ownership interest in Double E as an equity method investment because it has significant influence over Double E. </w:t>
      </w:r>
    </w:p>
    <w:p>
      <w:pPr>
        <w:pStyle w:val="TextBody"/>
        <w:spacing w:lineRule="auto" w:line="288" w:before="120" w:after="283"/>
        <w:rPr/>
      </w:pPr>
      <w:r>
        <w:rPr>
          <w:rFonts w:ascii="Times New Roman;sans-serif" w:hAnsi="Times New Roman;sans-serif"/>
          <w:b w:val="false"/>
          <w:color w:val="000000"/>
          <w:sz w:val="20"/>
        </w:rPr>
        <w:t>For the years ended December 31, 2021 and 2020, other than the investment activity noted above, Double E did not have any material results of operations given that the Double E Pipeline commenced operations in November 2021.</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and 2020, the Partnership’s carrying amount of its interest in Double E approximated its underlying investment.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Summarized balance sheet information for Double E follows (amounts represent 100% of investee financial information).</w:t>
      </w:r>
    </w:p>
    <w:p>
      <w:pPr>
        <w:pStyle w:val="TextBody"/>
        <w:spacing w:before="100" w:after="283"/>
        <w:rPr/>
      </w:pPr>
      <w:r>
        <w:rPr/>
      </w:r>
    </w:p>
    <w:tbl>
      <w:tblPr>
        <w:tblW w:w="5229" w:type="dxa"/>
        <w:jc w:val="left"/>
        <w:tblInd w:w="0" w:type="dxa"/>
        <w:tblCellMar>
          <w:top w:w="28" w:type="dxa"/>
          <w:left w:w="28" w:type="dxa"/>
          <w:bottom w:w="28" w:type="dxa"/>
          <w:right w:w="28" w:type="dxa"/>
        </w:tblCellMar>
      </w:tblPr>
      <w:tblGrid>
        <w:gridCol w:w="672"/>
        <w:gridCol w:w="591"/>
        <w:gridCol w:w="596"/>
        <w:gridCol w:w="276"/>
        <w:gridCol w:w="1081"/>
        <w:gridCol w:w="142"/>
        <w:gridCol w:w="109"/>
        <w:gridCol w:w="109"/>
        <w:gridCol w:w="109"/>
        <w:gridCol w:w="273"/>
        <w:gridCol w:w="1072"/>
        <w:gridCol w:w="199"/>
      </w:tblGrid>
      <w:tr>
        <w:trPr/>
        <w:tc>
          <w:tcPr>
            <w:tcW w:w="67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3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410,731 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197,463 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423,084 </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200,523 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76"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22,836 </w:t>
            </w:r>
          </w:p>
        </w:tc>
        <w:tc>
          <w:tcPr>
            <w:tcW w:w="1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12,479 </w:t>
            </w:r>
          </w:p>
        </w:tc>
        <w:tc>
          <w:tcPr>
            <w:tcW w:w="19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3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33,117 </w:t>
            </w:r>
          </w:p>
        </w:tc>
        <w:tc>
          <w:tcPr>
            <w:tcW w:w="1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16,931 </w:t>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Summarized statements of operations information for Double E follows (amounts represent 100% of investee financial information).</w:t>
      </w:r>
    </w:p>
    <w:tbl>
      <w:tblPr>
        <w:tblW w:w="7300" w:type="dxa"/>
        <w:jc w:val="left"/>
        <w:tblInd w:w="0" w:type="dxa"/>
        <w:tblCellMar>
          <w:top w:w="28" w:type="dxa"/>
          <w:left w:w="28" w:type="dxa"/>
          <w:bottom w:w="28" w:type="dxa"/>
          <w:right w:w="28" w:type="dxa"/>
        </w:tblCellMar>
      </w:tblPr>
      <w:tblGrid>
        <w:gridCol w:w="781"/>
        <w:gridCol w:w="688"/>
        <w:gridCol w:w="691"/>
        <w:gridCol w:w="494"/>
        <w:gridCol w:w="1620"/>
        <w:gridCol w:w="255"/>
        <w:gridCol w:w="109"/>
        <w:gridCol w:w="109"/>
        <w:gridCol w:w="109"/>
        <w:gridCol w:w="488"/>
        <w:gridCol w:w="1600"/>
        <w:gridCol w:w="356"/>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9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3,579 </w:t>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2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94"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2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3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Ohio Gathering.</w:t>
      </w:r>
      <w:r>
        <w:rPr>
          <w:color w:val="000000"/>
        </w:rPr>
        <w:t> </w:t>
      </w:r>
      <w:r>
        <w:rPr>
          <w:rFonts w:ascii="Times New Roman;sans-serif" w:hAnsi="Times New Roman;sans-serif"/>
          <w:b w:val="false"/>
          <w:color w:val="000000"/>
          <w:sz w:val="20"/>
        </w:rPr>
        <w:t>The Partnership has investments in OGC and OCC that it collectively refers to as Ohio Gathering. 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 The Partnership made its initial investment in Ohio Gathering in 2014 and owned approximately 38% of Ohio Gathering at December 31, 2021 and 2020.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Ohio Gathering is accounted for as an equity method investment because it has joint control with non-affiliated owners, which gives the Partnership significant influence.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of the difference between the carrying amount of the Partnership’s interest in Ohio Gathering and the Partnership’s underlying investment in Ohio Gathering, per Ohio Gathering’s books and records, is shown below.</w:t>
      </w:r>
    </w:p>
    <w:tbl>
      <w:tblPr>
        <w:tblW w:w="8094" w:type="dxa"/>
        <w:jc w:val="left"/>
        <w:tblInd w:w="0" w:type="dxa"/>
        <w:tblCellMar>
          <w:top w:w="28" w:type="dxa"/>
          <w:left w:w="28" w:type="dxa"/>
          <w:bottom w:w="28" w:type="dxa"/>
          <w:right w:w="28" w:type="dxa"/>
        </w:tblCellMar>
      </w:tblPr>
      <w:tblGrid>
        <w:gridCol w:w="1968"/>
        <w:gridCol w:w="1728"/>
        <w:gridCol w:w="1734"/>
        <w:gridCol w:w="211"/>
        <w:gridCol w:w="826"/>
        <w:gridCol w:w="109"/>
        <w:gridCol w:w="109"/>
        <w:gridCol w:w="109"/>
        <w:gridCol w:w="109"/>
        <w:gridCol w:w="211"/>
        <w:gridCol w:w="826"/>
        <w:gridCol w:w="154"/>
      </w:tblGrid>
      <w:tr>
        <w:trPr/>
        <w:tc>
          <w:tcPr>
            <w:tcW w:w="1968"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Ohio Gathering, December 31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cash distributions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Ohio Gathering (Books and records), November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Summarized balance sheet information for OGC and OCC follows (amounts represent 100% of investee financial information).</w:t>
      </w:r>
    </w:p>
    <w:tbl>
      <w:tblPr>
        <w:tblW w:w="7349" w:type="dxa"/>
        <w:jc w:val="left"/>
        <w:tblInd w:w="0" w:type="dxa"/>
        <w:tblCellMar>
          <w:top w:w="28" w:type="dxa"/>
          <w:left w:w="28" w:type="dxa"/>
          <w:bottom w:w="28" w:type="dxa"/>
          <w:right w:w="28" w:type="dxa"/>
        </w:tblCellMar>
      </w:tblPr>
      <w:tblGrid>
        <w:gridCol w:w="672"/>
        <w:gridCol w:w="591"/>
        <w:gridCol w:w="596"/>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616"/>
        <w:gridCol w:w="154"/>
      </w:tblGrid>
      <w:tr>
        <w:trPr/>
        <w:tc>
          <w:tcPr>
            <w:tcW w:w="67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30, 2020</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OGC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OGC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OCC</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Summarized statements of operations information for OGC and OCC follows (amounts represent 100% of investee financial information).</w:t>
      </w:r>
    </w:p>
    <w:tbl>
      <w:tblPr>
        <w:tblW w:w="7560" w:type="dxa"/>
        <w:jc w:val="left"/>
        <w:tblInd w:w="0" w:type="dxa"/>
        <w:tblCellMar>
          <w:top w:w="28" w:type="dxa"/>
          <w:left w:w="28" w:type="dxa"/>
          <w:bottom w:w="28" w:type="dxa"/>
          <w:right w:w="28" w:type="dxa"/>
        </w:tblCellMar>
      </w:tblPr>
      <w:tblGrid>
        <w:gridCol w:w="781"/>
        <w:gridCol w:w="688"/>
        <w:gridCol w:w="69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November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November 30, 2020</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OGC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OGC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OCC</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(25,571)</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 These provisions include the following: </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the Partnership would not receive gathering fees on throughput in excess of that customer's MVC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(depending on the terms of the specific gas gathering agreement) to the extent that the customer had made a shortfall payment with respect to one or more preceding measurement periods (as applicable).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the Partnership’s MVCs apply will be less than the weighted-average of the originally stated MVC contractual terms.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To the extent that certain of the Partnership’s customers' throughput volumes exceed its MVC for the applicable period, there is a crediting mechanism that allows the customer to build a bank of credits that it can utilize in the future to reduce shortfall payments owed in subsequent periods, subject to expiration if there is no shortfall in subsequent periods. The period over which this credit bank can be applied to future shortfall payments varies, depending on the particular gas gathering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December 31, 2021 and 2020 are primarily related to contributions in aid of construction which will be recognized as revenue over the life of the contract. A rollforward of current deferred revenue follows.</w:t>
      </w:r>
    </w:p>
    <w:tbl>
      <w:tblPr>
        <w:tblW w:w="5175" w:type="dxa"/>
        <w:jc w:val="left"/>
        <w:tblInd w:w="0" w:type="dxa"/>
        <w:tblCellMar>
          <w:top w:w="28" w:type="dxa"/>
          <w:left w:w="28" w:type="dxa"/>
          <w:bottom w:w="28" w:type="dxa"/>
          <w:right w:w="28" w:type="dxa"/>
        </w:tblCellMar>
      </w:tblPr>
      <w:tblGrid>
        <w:gridCol w:w="1442"/>
        <w:gridCol w:w="1272"/>
        <w:gridCol w:w="1276"/>
        <w:gridCol w:w="230"/>
        <w:gridCol w:w="787"/>
        <w:gridCol w:w="168"/>
      </w:tblGrid>
      <w:tr>
        <w:trPr/>
        <w:tc>
          <w:tcPr>
            <w:tcW w:w="1442"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January 1, 2021</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2021</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rollforward of noncurrent deferred revenue follows.</w:t>
      </w:r>
    </w:p>
    <w:tbl>
      <w:tblPr>
        <w:tblW w:w="5475" w:type="dxa"/>
        <w:jc w:val="left"/>
        <w:tblInd w:w="0" w:type="dxa"/>
        <w:tblCellMar>
          <w:top w:w="28" w:type="dxa"/>
          <w:left w:w="28" w:type="dxa"/>
          <w:bottom w:w="28" w:type="dxa"/>
          <w:right w:w="28" w:type="dxa"/>
        </w:tblCellMar>
      </w:tblPr>
      <w:tblGrid>
        <w:gridCol w:w="1554"/>
        <w:gridCol w:w="1366"/>
        <w:gridCol w:w="1370"/>
        <w:gridCol w:w="230"/>
        <w:gridCol w:w="787"/>
        <w:gridCol w:w="168"/>
      </w:tblGrid>
      <w:tr>
        <w:trPr/>
        <w:tc>
          <w:tcPr>
            <w:tcW w:w="1554"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January 1, 2021</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2021</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Debt for the Partnership at December 31, 2021 and 2020 follows.</w:t>
      </w:r>
    </w:p>
    <w:tbl>
      <w:tblPr>
        <w:tblW w:w="10205" w:type="dxa"/>
        <w:jc w:val="left"/>
        <w:tblInd w:w="0" w:type="dxa"/>
        <w:tblCellMar>
          <w:top w:w="28" w:type="dxa"/>
          <w:left w:w="28" w:type="dxa"/>
          <w:bottom w:w="28" w:type="dxa"/>
          <w:right w:w="28" w:type="dxa"/>
        </w:tblCellMar>
      </w:tblPr>
      <w:tblGrid>
        <w:gridCol w:w="2690"/>
        <w:gridCol w:w="2143"/>
        <w:gridCol w:w="2152"/>
        <w:gridCol w:w="231"/>
        <w:gridCol w:w="1072"/>
        <w:gridCol w:w="119"/>
        <w:gridCol w:w="109"/>
        <w:gridCol w:w="109"/>
        <w:gridCol w:w="109"/>
        <w:gridCol w:w="230"/>
        <w:gridCol w:w="1069"/>
        <w:gridCol w:w="172"/>
      </w:tblGrid>
      <w:tr>
        <w:trPr/>
        <w:tc>
          <w:tcPr>
            <w:tcW w:w="2690"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6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9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color w:val="000000"/>
                <w:sz w:val="20"/>
              </w:rPr>
              <w:t>Revolving Credit Facility</w:t>
            </w:r>
            <w:r>
              <w:rPr>
                <w:rFonts w:ascii="Times New Roman;sans-serif" w:hAnsi="Times New Roman;sans-serif"/>
                <w:b w:val="false"/>
                <w:color w:val="000000"/>
                <w:sz w:val="20"/>
              </w:rPr>
              <w:t xml:space="preserve">: Summit Holdings' variable rate senior secured revolving credit facility due May 13, 2022 </w:t>
            </w:r>
            <w:r>
              <w:rPr>
                <w:rFonts w:ascii="Times New Roman;sans-serif" w:hAnsi="Times New Roman;sans-serif"/>
                <w:b w:val="false"/>
                <w:color w:val="000000"/>
                <w:sz w:val="13"/>
              </w:rPr>
              <w:t>(1)</w:t>
            </w:r>
          </w:p>
        </w:tc>
        <w:tc>
          <w:tcPr>
            <w:tcW w:w="23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color w:val="000000"/>
                <w:sz w:val="20"/>
              </w:rPr>
              <w:t>ABL Facility</w:t>
            </w:r>
            <w:r>
              <w:rPr>
                <w:rFonts w:ascii="Times New Roman;sans-serif" w:hAnsi="Times New Roman;sans-serif"/>
                <w:b w:val="false"/>
                <w:color w:val="000000"/>
                <w:sz w:val="20"/>
              </w:rPr>
              <w:t>: Summit Holdings' asset based credit facility due May 1, 2026</w:t>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69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color w:val="000000"/>
                <w:sz w:val="20"/>
              </w:rPr>
              <w:t>Permian Transmission Credit Facility</w:t>
            </w:r>
            <w:r>
              <w:rPr>
                <w:rFonts w:ascii="Times New Roman;sans-serif" w:hAnsi="Times New Roman;sans-serif"/>
                <w:b w:val="false"/>
                <w:color w:val="000000"/>
                <w:sz w:val="20"/>
              </w:rPr>
              <w:t>: Permian Transmission's variable rate senior secured credit facility due March 8, 2028</w:t>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2022 Senior Notes</w:t>
            </w:r>
            <w:r>
              <w:rPr>
                <w:rFonts w:ascii="Times New Roman;sans-serif" w:hAnsi="Times New Roman;sans-serif"/>
                <w:b w:val="false"/>
                <w:color w:val="000000"/>
                <w:sz w:val="20"/>
              </w:rPr>
              <w:t xml:space="preserve">: Summit Holdings' 5.5% senior unsecured notes due August 15, 2022 </w:t>
            </w:r>
            <w:r>
              <w:rPr>
                <w:rFonts w:ascii="Times New Roman;sans-serif" w:hAnsi="Times New Roman;sans-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234,047 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69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Summit Holdings' 5.75% senior unsecured notes due April 15, 2025</w:t>
            </w:r>
          </w:p>
        </w:tc>
        <w:tc>
          <w:tcPr>
            <w:tcW w:w="13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Summit Holdings' and Finance Corp's 8.50% senior unsecured second lien notes due October 15, 2026</w:t>
            </w:r>
          </w:p>
        </w:tc>
        <w:tc>
          <w:tcPr>
            <w:tcW w:w="13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1,347,326 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w:t>
      </w:r>
    </w:p>
    <w:p>
      <w:pPr>
        <w:pStyle w:val="TextBody"/>
        <w:spacing w:lineRule="auto" w:line="288" w:before="120" w:after="283"/>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The Revolving Credit Facility was repaid in full in November 2021.</w:t>
      </w:r>
    </w:p>
    <w:p>
      <w:pPr>
        <w:pStyle w:val="TextBody"/>
        <w:spacing w:lineRule="auto" w:line="288" w:before="120" w:after="283"/>
        <w:ind w:left="0" w:right="0" w:hanging="360"/>
        <w:rPr/>
      </w:pPr>
      <w:r>
        <w:rPr>
          <w:rFonts w:ascii="Times New Roman;sans-serif" w:hAnsi="Times New Roman;sans-serif"/>
          <w:b w:val="false"/>
          <w:color w:val="000000"/>
          <w:sz w:val="12"/>
        </w:rPr>
        <w:t>(2)</w:t>
      </w:r>
      <w:r>
        <w:rPr>
          <w:rFonts w:ascii="Times New Roman;sans-serif" w:hAnsi="Times New Roman;sans-serif"/>
          <w:b w:val="false"/>
          <w:color w:val="000000"/>
          <w:sz w:val="18"/>
        </w:rPr>
        <w:t>The 2022 Senior Notes were repaid in full in November 2021.</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aggregate amount of Partnership’s debt maturing during each of the years after December 31, 2021 are as follows (in thousands):</w:t>
      </w:r>
    </w:p>
    <w:tbl>
      <w:tblPr>
        <w:tblW w:w="3141" w:type="dxa"/>
        <w:jc w:val="left"/>
        <w:tblInd w:w="0" w:type="dxa"/>
        <w:tblCellMar>
          <w:top w:w="28" w:type="dxa"/>
          <w:left w:w="28" w:type="dxa"/>
          <w:bottom w:w="28" w:type="dxa"/>
          <w:right w:w="28" w:type="dxa"/>
        </w:tblCellMar>
      </w:tblPr>
      <w:tblGrid>
        <w:gridCol w:w="651"/>
        <w:gridCol w:w="571"/>
        <w:gridCol w:w="578"/>
        <w:gridCol w:w="211"/>
        <w:gridCol w:w="976"/>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967,000 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1,386,463 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Revolving Credit Facility.</w:t>
      </w:r>
      <w:r>
        <w:rPr>
          <w:color w:val="000000"/>
        </w:rPr>
        <w:t xml:space="preserve"> </w:t>
      </w:r>
      <w:r>
        <w:rPr>
          <w:rFonts w:ascii="Times New Roman;sans-serif" w:hAnsi="Times New Roman;sans-serif"/>
          <w:b w:val="false"/>
          <w:color w:val="000000"/>
          <w:sz w:val="20"/>
        </w:rPr>
        <w:t xml:space="preserve">The Partnership’s subsidiary, Summit Holdings, had a senior secured revolving credit facility (the “Revolving Credit Facility”) which allowed for revolving loans, letters of credit and swingline loans. On November 2, 2021, a portion of the proceeds from the issuance of the 2026 Secured Notes, as described below, together with cash on hand and borrowings under the ABL Facility, as defined below, was used to repay, in full, the obligations under the Revolving Credit Facility. </w:t>
      </w:r>
    </w:p>
    <w:p>
      <w:pPr>
        <w:pStyle w:val="TextBody"/>
        <w:spacing w:lineRule="auto" w:line="288" w:before="120" w:after="283"/>
        <w:rPr/>
      </w:pPr>
      <w:r>
        <w:rPr>
          <w:rFonts w:ascii="Times New Roman;sans-serif" w:hAnsi="Times New Roman;sans-serif"/>
          <w:b/>
          <w:i/>
          <w:color w:val="000000"/>
          <w:sz w:val="20"/>
        </w:rPr>
        <w:t xml:space="preserve">ABL Facility. </w:t>
      </w:r>
      <w:r>
        <w:rPr>
          <w:rFonts w:ascii="Times New Roman;sans-serif" w:hAnsi="Times New Roman;sans-serif"/>
          <w:b w:val="false"/>
          <w:color w:val="000000"/>
          <w:sz w:val="20"/>
        </w:rPr>
        <w:t xml:space="preserve">Concurrently with the issuance of the 2026 Secured Notes, on November 2, 2021, Summit Holdings, as borrower, entered into a first-lien, senior secured credit agreement, with the Partnership, the subsidiaries party thereto, Bank of America, N.A., as agent, and the several lenders and other agents party thereto,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December 31, 2021, the most recent borrowing base determination of eligible assets totaled $691.2 million, an amount greater than the $400.0 million of aggregate commitments.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applicable margin under the adjusted LIBOR borrowings was 3.25%, the interest rate was 3.38% and the unused portion of the ABL Facility totaled $109.1 million after giving effect to the issuance of $23.9 million in outstanding but undrawn irrevocable standby letters of credit.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Summit Holdings entered into that certain Loan and Security Agreement governing the ABL Facility (the “ABL Agreement”), dated as of November 2, 2021, by and among Summit Holdings, as borrower, the Partnership, the ABL Facility Subsidiary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 (ii) 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(together with certain Secured Bank Product Obligations (as defined in the ABL Agreement)) will be jointly and severally guaranteed, on a senior first-priority secured basis (subject to permitted liens), by the Partnership, Summit Holdings and each of the ABL Facility Subsidiary Guarantors.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December 31, 2021, the First Lien Net Leverage Ratio was 1.10:1.00 and the Interest Coverage Ratio was 4.30:1.00 .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certain events of default customary for instruments of this type. In the case of an event of default arising from certain events of bankruptcy, insolvency or reorganization with respect to Summit Holdings, all outstanding Obligations (as defined in the ABL Agreement) will become due and payable immediately without further action or notice and all commitments under the ABL Facility will terminate.</w:t>
      </w:r>
    </w:p>
    <w:p>
      <w:pPr>
        <w:pStyle w:val="TextBody"/>
        <w:spacing w:lineRule="auto" w:line="288" w:before="120" w:after="283"/>
        <w:rPr/>
      </w:pPr>
      <w:r>
        <w:rPr>
          <w:rFonts w:ascii="Times New Roman;sans-serif" w:hAnsi="Times New Roman;sans-serif"/>
          <w:b w:val="false"/>
          <w:color w:val="000000"/>
          <w:sz w:val="20"/>
        </w:rPr>
        <w:t>Pursuant to the ABL Agreement, the Obligations (as defined in the ABL Agreement) are (or, subject to post-closing periods for certain types of collateral, will be) generally secured by a first priority lien on and security interest in (subject to permitted liens), subject to certain exclusions and limitations set forth in the ABL Agreement, (i) substantially all of the personal property of Summit Holdings and the ABL Facility Subsidiary Guarantors, (ii) all equity interests in Summit Holdings and certain other entities, all debt securities and certain rights related to the foregoing, in each case, owned by the Partnership, (iii) Closing Date Material Gathering Station Real Property and Closing Date Pipeline Material Gathering Station Real Property (each, as defined in the ABL Agreement) and certain other material real property interests (including improvements thereon) of Summit Holdings and the ABL Facility Subsidiary Guarantors as provided in the ABL Agreement and (iv) all proceeds of the foregoing collateral</w:t>
      </w:r>
      <w:r>
        <w:rPr>
          <w:rFonts w:ascii="Times New Roman;sans-serif" w:hAnsi="Times New Roman;sans-serif"/>
          <w:b w:val="false"/>
          <w:i/>
          <w:color w:val="000000"/>
          <w:sz w:val="24"/>
        </w:rPr>
        <w: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Intercreditor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 2021, in connection with the entry into the ABL Facility and issuance of the 2026 Secured Notes, Summit Holdings and the other guarantors party thereto entered into an Intercreditor Agreement (the “Intercreditor Agreement”) with Bank of America, N.A., as first lien representative and collateral agent for the initial first lien claimholders, Regions Bank, as second lien representative for the initial second lien claimholders and collateral agent for the initial second lien claimholders, establishing (i) a first-priority lien (subject to permitted liens) status for the liens on the collateral securing the ABL Facility and any additional first-lien indebtedness and (ii) a junior priority lien (subject to permitted liens) status for the liens on the collateral securing the 2026 Secured Notes and any additional second-lien indebtedness.</w:t>
      </w:r>
    </w:p>
    <w:p>
      <w:pPr>
        <w:pStyle w:val="TextBody"/>
        <w:spacing w:lineRule="auto" w:line="288" w:before="120" w:after="283"/>
        <w:rPr/>
      </w:pPr>
      <w:r>
        <w:rPr>
          <w:rFonts w:ascii="Times New Roman;sans-serif" w:hAnsi="Times New Roman;sans-serif"/>
          <w:b/>
          <w:i/>
          <w:color w:val="000000"/>
          <w:sz w:val="20"/>
        </w:rPr>
        <w:t>Permian Transmission Credit Facility.</w:t>
      </w:r>
      <w:r>
        <w:rPr>
          <w:color w:val="000000"/>
        </w:rPr>
        <w:t xml:space="preserve"> </w:t>
      </w:r>
      <w:r>
        <w:rPr>
          <w:rFonts w:ascii="Times New Roman;sans-serif" w:hAnsi="Times New Roman;sans-serif"/>
          <w:b w:val="false"/>
          <w:color w:val="000000"/>
          <w:sz w:val="20"/>
        </w:rPr>
        <w:t>On March 8, 2021 (the “Permian Closing Date”), the Partnership’s unrestricted subsidiary,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applicable margin under adjusted LIBOR borrowings was 2.375%, the interest rate was 2.5% and the unused portion of the Permian Transmission Credit Facilities totaled $13.0 million, subject to a commitment fee of 0.7% after giving effect to the issuance of $2.0 million in outstanding but undrawn irrevocable standby letters of credit. As of December 31, 2021, the Partnership was in compliance with the Permian Transmission Credit Facilities covenants. There were no defaults or events of default during the period from the Permian Closing Date to December 31, 2021.</w:t>
      </w:r>
    </w:p>
    <w:p>
      <w:pPr>
        <w:pStyle w:val="TextBody"/>
        <w:spacing w:lineRule="auto" w:line="288" w:before="120" w:after="283"/>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In 2021, the Co-Issuers issued $700.0 million of 8.500% Senior Secured Second Lien Notes due 2026 (the “2026 Secured Notes”) to eligible purchasers pursuant to Rule 144A and Regulation S of the Securities Act, at a price of 98.5% of their face value. The 2026 Secured Notes will pay interest semi-annually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(as defined below), or under the Co-Issuers’ 2025 Senior Notes on the issue date of the 2026 Secured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used the net proceeds from the offering of the 2026 Secured Notes, together with cash on hand and borrowings under the ABL Facility (as defined below), to repay in full all of Summit Holdings’ obligations under the Revolving Credit Facility.</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2026 Secured Notes Indenture.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Co-Issuers issued the 2026 Secured Notes pursuant to an indenture (the “2026 Secured Notes Indenture”), dated as of November 2, 2021, by and among the Co-Issuers, the Partnership, any other Restricted Subsidiary (as defined in the 2026 Secured Notes Indenture) of the Partnership that provides a Notes Guarantee (as defined in the 2026 Secured Notes Indenture) and Regions Bank, as trustee (the “Trustee”) and collateral agent, setting forth specific terms applicable to the 2026 Secured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At any time prior to October 15, 2023, the Co-Issuers may on any one or more occasions redeem up to 35% of the aggregate principal amount of the 2026 Secured Notes (including any additional notes) issued under the 2026 Secured Notes Indenture at a redemption price of 108.5% of the principal amount of the 2026 Secured Notes, plus accrued and unpaid interest, if any, to, but not including, the redemption date, in an amount not greater than the net cash proceeds of certain equity offerings by the Partnership, provided that: (i) at least 65% of the initial aggregate principal amount of the 2026 Secured Notes (including any additional notes) remains outstanding immediately after the occurrence of such redemption (excluding notes held by the Partnership and its subsidiaries); and (ii) the redemption occurs within 180 days of the date of the closing of each such equity offering by the Partnership.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In certain circumstances, the Co-Issuers will be required to offer to purchase the 2026 Secured Notes with excess proceeds from asset sales, excess cash flow and upon the occurrence of certain change of control events.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Indenture restricts the Partnership’s and its Restricted Subsidiaries’ ability and the ability of certain of their subsidiaries to: (i) incur additional debt or issue preferred stock; (ii) make distributions, repurchase equity or redeem junior lien, unsecured or subordinated debt; (iii) make payments on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 At any time when the 2026 Secured Notes are rated investment grade by at least two of Moody’s Investors Service, Inc., Standard &amp; Poor’s Ratings Services or Fitch Ratings, Inc., no default under the 2026 Secured Notes Indenture has occurred and is continuing, many of these covenants will terminate.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2026 Secured Notes Indenture contains certain events of default customary for instruments of this type.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case of an event of default arising from certain events of bankruptcy, insolvency or reorganization with respect to either Co-Issuer, the Partnership, and certain significant subsidiaries of the Partnership, all outstanding Notes will become due and payable immediately without further action or notice. If any other event of default occurs and is continuing, the Trustee or the holders of at least 25% in principal amount of the then outstanding Notes may declare all the 2026 Secured Notes to be due and payable immediately.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Collateral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 2021, the Co-Issuers, as pledgors and grantors, entered into, in connection with the 2026 Secured Notes Indenture, a Collateral Agreement (Second Lien), with the Partnership, as a pledgor, each subsidiary guarantor listed therein and Regions Bank, as collateral agent (the “Collateral Agreement”). Pursuant to the Collateral Agreement and the 2026 Secured Notes Indenture, the obligations under the 2026 Secured Notes Indenture are (or, subject to post-closing periods for certain types of collateral, will be) generally secured by a second priority lien on and security interest in (subject to permitted liens) the assets of the Partnership, the Co-Issuers and the subsidiary guarantors securing their obligations under the ABL Facility (as described below under “—ABL Facility”).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Excess Cash Flow Offers to Purchase.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in the first quarter of 2023 with respect to the fiscal year ended 2022, and continuing annually through the fiscal year 2025, the Partnership is required under the terms of the 2026 Secured Notes Indenture to, if it has Excess Cash Flow (as defined in the 2026 Secured Notes Indenture), and subject to its ability to make such an offer under the ABL Credit Facility, offer to purchase an amount of the 2026 Secured Notes, at 100% of the principal amount plus accrued and unpaid interest, equal to 100% of the Excess Cash Flow generated in the prior year. </w:t>
      </w:r>
    </w:p>
    <w:p>
      <w:pPr>
        <w:pStyle w:val="TextBody"/>
        <w:spacing w:lineRule="auto" w:line="288" w:before="120" w:after="283"/>
        <w:rPr/>
      </w:pPr>
      <w:r>
        <w:rPr>
          <w:rFonts w:ascii="Times New Roman;sans-serif" w:hAnsi="Times New Roman;sans-serif"/>
          <w:b w:val="false"/>
          <w:color w:val="000000"/>
          <w:sz w:val="20"/>
        </w:rPr>
        <w:t>Generally, if the Partnership does not offer to purchase designated annual amounts of its 2026 Secured Notes or reduce its first lien capacity under the 2026 Secured Notes Indenture per annum from 2023 through 2025, the interest rate on the 2026 Secured Notes are subject to certain rate escalations.</w:t>
      </w:r>
      <w:r>
        <w:rPr>
          <w:color w:val="000000"/>
        </w:rPr>
        <w:t xml:space="preserve"> </w:t>
      </w:r>
      <w:r>
        <w:rPr>
          <w:rFonts w:ascii="Times New Roman;sans-serif" w:hAnsi="Times New Roman;sans-serif"/>
          <w:b w:val="false"/>
          <w:color w:val="000000"/>
          <w:sz w:val="20"/>
        </w:rPr>
        <w:t xml:space="preserve">Per the terms of the 2026 Secured Notes Indenture, the designated amounts are $50.0 million in aggregate by April 1, 2023, otherwise the interest rate shall automatically increase by 50 basis points per annum; $100.0 million in aggregate by April 1, 2024, otherwise the interest rate shall automatically increase by 100 basis points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val="false"/>
          <w:color w:val="000000"/>
          <w:sz w:val="20"/>
        </w:rPr>
        <w:t>per annum (minus any amount previously increased); and $200.0 million in aggregate by April 1, 2025, otherwise the interest rate shall automatically increase by 200 basis points per annum (minus any amount previously increased).</w:t>
      </w:r>
      <w:r>
        <w:rPr>
          <w:color w:val="000000"/>
        </w:rPr>
        <w:t xml:space="preserv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the Partnership makes an offer to purchase, and the offer is not fully accepted by the holders of the 2026 Secured Notes, the Partnership may use any remaining amount not accepted for any purpose not prohibited by the 2026 Secured Notes Indenture or the ABL Facility. </w:t>
      </w:r>
    </w:p>
    <w:p>
      <w:pPr>
        <w:pStyle w:val="TextBody"/>
        <w:spacing w:lineRule="auto" w:line="288" w:before="120" w:after="283"/>
        <w:rPr/>
      </w:pPr>
      <w:r>
        <w:rPr>
          <w:rFonts w:ascii="Times New Roman;sans-serif" w:hAnsi="Times New Roman;sans-serif"/>
          <w:b/>
          <w:i/>
          <w:color w:val="000000"/>
          <w:sz w:val="20"/>
        </w:rPr>
        <w:t>2022 Senior Notes.</w:t>
      </w:r>
      <w:r>
        <w:rPr>
          <w:color w:val="000000"/>
        </w:rPr>
        <w:t> </w:t>
      </w:r>
      <w:r>
        <w:rPr>
          <w:rFonts w:ascii="Times New Roman;sans-serif" w:hAnsi="Times New Roman;sans-serif"/>
          <w:b w:val="false"/>
          <w:color w:val="000000"/>
          <w:sz w:val="20"/>
        </w:rPr>
        <w:t xml:space="preserve">In July 2014, the Co-Issuers co-issued the 2022 Senior Notes. During 2021, the Co-Issuers redeemed all of the outstanding 2022 Senior Notes at a redemption price equal to 100.0% of the principal amount of the 2022 Senior Notes, plus accrued and unpaid interest. </w:t>
      </w:r>
    </w:p>
    <w:p>
      <w:pPr>
        <w:pStyle w:val="TextBody"/>
        <w:spacing w:lineRule="auto" w:line="288" w:before="120" w:after="283"/>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Co-Issuers have the right to redeem all or part of the 2025 Senior Notes at a redemption price of 102.875% (with the redemption price declining ratably each year to 100.00% on April 15, 2023), plus accrued and unpaid interest, if any, to, but not including, the redemption date. Debt issuance costs of $7.7 million are being amortized over the life of the 2025 Senior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and during the year ended December 31, 2021, that Partnership was in compliance with the financial covenants governing its 2025 Senior Notes.</w:t>
      </w:r>
    </w:p>
    <w:p>
      <w:pPr>
        <w:pStyle w:val="TextBody"/>
        <w:spacing w:lineRule="auto" w:line="288" w:before="120" w:after="283"/>
        <w:rPr/>
      </w:pPr>
      <w:r>
        <w:rPr>
          <w:rFonts w:ascii="Times New Roman;sans-serif" w:hAnsi="Times New Roman;sans-serif"/>
          <w:b/>
          <w:i/>
          <w:color w:val="000000"/>
          <w:sz w:val="20"/>
        </w:rPr>
        <w:t>SMPH Term Loan and TL Restructuring.</w:t>
      </w:r>
      <w:r>
        <w:rPr>
          <w:color w:val="000000"/>
        </w:rPr>
        <w:t> </w:t>
      </w:r>
      <w:r>
        <w:rPr>
          <w:rFonts w:ascii="Times New Roman;sans-serif" w:hAnsi="Times New Roman;sans-serif"/>
          <w:b w:val="false"/>
          <w:color w:val="000000"/>
          <w:sz w:val="20"/>
        </w:rPr>
        <w:t>Until November 17, 2020, a subsidiary of the Partnership, SMP Holdings, had a senior secured term loan facility with $155.2 million of principal outstanding and a maturity date of May 15, 2022. Borrowings under the SMPH Term Loan bore interest at LIBOR plus 6.00% or ABR plus 5.00%, as defined in the SMPH Term Loan, and were secured by the following collateral: (i) a perfected first-priority lien on, and pledge of (a) all of the capital stock issued by SMP Holdings, (b) 2.3 million SMLP units owned by SMP Holdings, (c) all of the equity interests owned by SMP Holdings in the General Partner, and (ii) substantially all other personal property of SMP Holdings.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September 29, 2020, SMP Holdings, Summit Investments and, for limited purposes, the Partnership, entered into the TL Restructuring. At the closing of the TL Restructuring on November 17, 2020, the Term Loan Agent executed a Strict Foreclosure on behalf of the Term Loan Lenders on the 2,306,972 common units held by SMP Holdings and pledged as collateral under the SMPH Term Loan, which was then distributed to all SMPH Term Loan Lenders on a pro rata basis. In addition to the Strict Foreclosure, SMP Holdings paid to each of the SMPH Term Loan Lenders its pro rata share of $26.5 million in cash that the Partnership paid to SMP Holdings to fully satisfy its obligation with respect to the deferred purchased price obligation.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SMPH Term Loan is fully satisfied and no longer exists.</w:t>
      </w:r>
    </w:p>
    <w:p>
      <w:pPr>
        <w:pStyle w:val="TextBody"/>
        <w:spacing w:lineRule="auto" w:line="288" w:before="120" w:after="283"/>
        <w:rPr/>
      </w:pPr>
      <w:r>
        <w:rPr>
          <w:rFonts w:ascii="Times New Roman;sans-serif" w:hAnsi="Times New Roman;sans-serif"/>
          <w:b/>
          <w:i/>
          <w:color w:val="000000"/>
          <w:sz w:val="20"/>
        </w:rPr>
        <w:t>ECP Loans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On May 28, 2020, in connection with the closing of the GP Buy-In Transaction, Summit Holdings, entered into (i) a Term Loan Credit Agreement (the “ECP NewCo Term Loan Credit Agreement”), with SMP TopCo, LLC, a Delaware limited liability company and affiliate of ECP (“ECP NewCo”), as lender and administrative agent, and Mizuho Bank (USA) (“Mizuho”), as collateral agent, in a principal amount of $28.2 million (the “ECP NewCo Loan”), and (ii) a Term Loan Credit Agreement (the “ECP Holdings Term Loan Credit Agreement” and together with the ECP NewCo Term Loan Credit Agreement, the “ECP Term Loan Credit Agreements”), with ECP Holdings, as lender, and ECP NewCo, as administrative agent and Mizuho, as collateral agent, in a principal amount of $6.8 million (the “ECP Holdings Loan” and together with the ECP NewCo Loan, the “ECP Loans”). The ECP Loans were set to mature on March 31, 2021 and bore interest at a fixed rate of 8.00% per annum, with the interest payment due at maturity of the ECP Loans. With borrowings under the Partnership’s Revolving Credit Facility, the Partnership fully repaid all amounts outstanding under the ECP Loans ($35 million of principal and $0.6 million of accrued interest) on August 7,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9. LIABILITY MANAGEMENT TRANSACTIONS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the Partnership and its subsidiaries completed several liability management transactions, described below, that resulted in the early extinguishment of an aggregate $306.5 million face value of the Partnership’s indebtedness.</w:t>
      </w:r>
    </w:p>
    <w:p>
      <w:pPr>
        <w:pStyle w:val="TextBody"/>
        <w:spacing w:lineRule="auto" w:line="288" w:before="120" w:after="283"/>
        <w:rPr/>
      </w:pPr>
      <w:r>
        <w:rPr>
          <w:rFonts w:ascii="Times New Roman;sans-serif" w:hAnsi="Times New Roman;sans-serif"/>
          <w:b/>
          <w:i/>
          <w:color w:val="000000"/>
          <w:sz w:val="20"/>
        </w:rPr>
        <w:t>Open Market Repurchases.</w:t>
      </w:r>
      <w:r>
        <w:rPr>
          <w:color w:val="000000"/>
        </w:rPr>
        <w:t> </w:t>
      </w:r>
      <w:r>
        <w:rPr>
          <w:rFonts w:ascii="Times New Roman;sans-serif" w:hAnsi="Times New Roman;sans-serif"/>
          <w:b w:val="false"/>
          <w:color w:val="000000"/>
          <w:sz w:val="20"/>
        </w:rPr>
        <w:t xml:space="preserve">During the year ended December 31, 2020, the Partnership made a number of open market repurchases of the 2022 Senior Notes and 2025 Senior Notes that resulted in the extinguishment of $32.4 million of face value of the 2022 Senior Notes and $201.8 million of face value of the 2025 Senior Notes (the “Open Market Repurchases”). Total cash consideration paid to repurchase the principal amounts outstanding of the 2022 Senior Notes and 2025 Senior Notes, plus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accrued interest totaled $150.3 million and the Partnership recognized a $86.4 million gain on the early extinguishment of debt during the year ended December 31, 2020.</w:t>
      </w:r>
    </w:p>
    <w:p>
      <w:pPr>
        <w:pStyle w:val="TextBody"/>
        <w:spacing w:lineRule="auto" w:line="288" w:before="120" w:after="283"/>
        <w:rPr/>
      </w:pPr>
      <w:r>
        <w:rPr>
          <w:rFonts w:ascii="Times New Roman;sans-serif" w:hAnsi="Times New Roman;sans-serif"/>
          <w:b/>
          <w:i/>
          <w:color w:val="000000"/>
          <w:sz w:val="20"/>
        </w:rPr>
        <w:t>Debt Tender Offers. </w:t>
      </w:r>
      <w:r>
        <w:rPr>
          <w:rFonts w:ascii="Times New Roman;sans-serif" w:hAnsi="Times New Roman;sans-serif"/>
          <w:b w:val="false"/>
          <w:color w:val="000000"/>
          <w:sz w:val="20"/>
        </w:rPr>
        <w:t>In September 2020, the Co-Issuers completed the Debt Tender Offers to purchase a portion of the 2022 Senior Notes and 2025 Senior Notes. Upon concluding the Debt Tender Offers, the Co-Issuers repurchased $33.5 million principal amount of the 2022 Senior Notes and $38.7 million principal amount of the 2025 Senior Notes. Total cash consideration paid to repurchase the principal amounts outstanding of the 2022 and 2025 Senior Notes, plus accrued interest, totaled $48.7 million, and the Partnership recognized a $23.3 million gain on the early extinguishment of debt during the year ended December 31, 2020.</w:t>
      </w:r>
    </w:p>
    <w:p>
      <w:pPr>
        <w:pStyle w:val="TextBody"/>
        <w:spacing w:lineRule="auto" w:line="288" w:before="120" w:after="283"/>
        <w:rPr/>
      </w:pPr>
      <w:r>
        <w:rPr>
          <w:rFonts w:ascii="Times New Roman;sans-serif" w:hAnsi="Times New Roman;sans-serif"/>
          <w:b/>
          <w:i/>
          <w:color w:val="000000"/>
          <w:sz w:val="20"/>
        </w:rPr>
        <w:t>SMPH Term Loan Restructuring</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On November 17, 2020, the Partnership completed the TL Restructuring and recognized a gain of $94.0 million equal to the difference between the face value of the cancelled SMPH Term Loan and the fair value of the total consideration transferred, including unamortized debt issuance costs, and certain direct transaction costs related to the restructuring. The transaction was accounted for under ASC Topic 470-60 </w:t>
      </w:r>
      <w:r>
        <w:rPr>
          <w:color w:val="000000"/>
        </w:rPr>
        <w:t>“</w:t>
      </w:r>
      <w:r>
        <w:rPr>
          <w:rFonts w:ascii="Times New Roman;sans-serif" w:hAnsi="Times New Roman;sans-serif"/>
          <w:b w:val="false"/>
          <w:i/>
          <w:color w:val="000000"/>
          <w:sz w:val="20"/>
        </w:rPr>
        <w:t>Troubled Debt Restructuring with Debtors”</w:t>
      </w:r>
      <w:r>
        <w:rPr>
          <w:color w:val="000000"/>
        </w:rPr>
        <w:t> </w:t>
      </w:r>
      <w:r>
        <w:rPr>
          <w:rFonts w:ascii="Times New Roman;sans-serif" w:hAnsi="Times New Roman;sans-serif"/>
          <w:b w:val="false"/>
          <w:color w:val="000000"/>
          <w:sz w:val="20"/>
        </w:rPr>
        <w:t>and had a total impact of $26.15 per unit.</w:t>
      </w:r>
    </w:p>
    <w:p>
      <w:pPr>
        <w:pStyle w:val="TextBody"/>
        <w:spacing w:lineRule="auto" w:line="288" w:before="120" w:after="283"/>
        <w:rPr/>
      </w:pPr>
      <w:r>
        <w:rPr>
          <w:rFonts w:ascii="Times New Roman;sans-serif" w:hAnsi="Times New Roman;sans-serif"/>
          <w:b/>
          <w:i/>
          <w:color w:val="000000"/>
          <w:sz w:val="20"/>
        </w:rPr>
        <w:t>Summary of gain on extinguishment of debt.</w:t>
      </w:r>
      <w:r>
        <w:rPr>
          <w:color w:val="000000"/>
        </w:rPr>
        <w:t> </w:t>
      </w:r>
      <w:r>
        <w:rPr>
          <w:rFonts w:ascii="Times New Roman;sans-serif" w:hAnsi="Times New Roman;sans-serif"/>
          <w:b w:val="false"/>
          <w:color w:val="000000"/>
          <w:sz w:val="20"/>
        </w:rPr>
        <w:t>The Partnership recognized a $203.1 million gain on extinguishment of debt during the year ended December 31, 2020, the components of which are summarized in the table below.</w:t>
      </w:r>
    </w:p>
    <w:tbl>
      <w:tblPr>
        <w:tblW w:w="10650" w:type="dxa"/>
        <w:jc w:val="left"/>
        <w:tblInd w:w="0" w:type="dxa"/>
        <w:tblCellMar>
          <w:top w:w="28" w:type="dxa"/>
          <w:left w:w="28" w:type="dxa"/>
          <w:bottom w:w="28" w:type="dxa"/>
          <w:right w:w="28" w:type="dxa"/>
        </w:tblCellMar>
      </w:tblPr>
      <w:tblGrid>
        <w:gridCol w:w="609"/>
        <w:gridCol w:w="392"/>
        <w:gridCol w:w="395"/>
        <w:gridCol w:w="245"/>
        <w:gridCol w:w="559"/>
        <w:gridCol w:w="12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25"/>
        <w:gridCol w:w="769"/>
        <w:gridCol w:w="117"/>
        <w:gridCol w:w="109"/>
        <w:gridCol w:w="109"/>
        <w:gridCol w:w="109"/>
        <w:gridCol w:w="211"/>
        <w:gridCol w:w="826"/>
        <w:gridCol w:w="154"/>
      </w:tblGrid>
      <w:tr>
        <w:trPr/>
        <w:tc>
          <w:tcPr>
            <w:tcW w:w="6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ECP Loan</w:t>
              <w:br/>
              <w:t>Repayment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Open Market</w:t>
              <w:br/>
              <w:t>Repurchases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Tender</w:t>
              <w:br/>
              <w:t>Offers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TL</w:t>
              <w:br/>
              <w:t>Restructuring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Repurchases of Senior Notes and TL Restructuring</w:t>
            </w:r>
          </w:p>
        </w:tc>
        <w:tc>
          <w:tcPr>
            <w:tcW w:w="24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issue costs</w:t>
            </w:r>
          </w:p>
        </w:tc>
        <w:tc>
          <w:tcPr>
            <w:tcW w:w="804"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w:t>
            </w:r>
          </w:p>
        </w:tc>
        <w:tc>
          <w:tcPr>
            <w:tcW w:w="11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debt extinguishment</w:t>
            </w:r>
          </w:p>
        </w:tc>
        <w:tc>
          <w:tcPr>
            <w:tcW w:w="2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93,931 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120" w:after="283"/>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Partnership believes that it is in material compliance with applicable environmental regulations, the risk of 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2015, the Partnership learned of the rupture of a four-inch produced water gathering pipeline on the Meadowlark Midstream system near Williston, North Dakota (“2015 Blacktail Release”).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Partnership has recognized (i) a current liability for remediation effort expenditures expected to be incurred within the next 12 months and (ii) a noncurrent liability for estimated remediation expenditures expected to be incurred subsequent to December 31, 2022. Each of these amounts represent the Partnership’s best estimate for costs expected to be incurred. Neither of these amounts have been discounted to its present value.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rollforward of the Partnership’s undiscounted accrued environmental remediation follows and is primarily related to the 2015 Blacktail Release and other environmental remediation activities is below.</w:t>
      </w:r>
    </w:p>
    <w:tbl>
      <w:tblPr>
        <w:tblW w:w="6090" w:type="dxa"/>
        <w:jc w:val="left"/>
        <w:tblInd w:w="0" w:type="dxa"/>
        <w:tblCellMar>
          <w:top w:w="28" w:type="dxa"/>
          <w:left w:w="28" w:type="dxa"/>
          <w:bottom w:w="28" w:type="dxa"/>
          <w:right w:w="28" w:type="dxa"/>
        </w:tblCellMar>
      </w:tblPr>
      <w:tblGrid>
        <w:gridCol w:w="1777"/>
        <w:gridCol w:w="1562"/>
        <w:gridCol w:w="1566"/>
        <w:gridCol w:w="255"/>
        <w:gridCol w:w="744"/>
        <w:gridCol w:w="186"/>
      </w:tblGrid>
      <w:tr>
        <w:trPr/>
        <w:tc>
          <w:tcPr>
            <w:tcW w:w="1777"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January 1, 2020</w:t>
            </w:r>
          </w:p>
        </w:tc>
        <w:tc>
          <w:tcPr>
            <w:tcW w:w="25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2020</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accruals</w:t>
            </w:r>
          </w:p>
        </w:tc>
        <w:tc>
          <w:tcPr>
            <w:tcW w:w="9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2021</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2020, the Partnership recognized a $17.0 million loss contingency for the 2015 Blacktail Release as a result of ongoing discussions with multiple federal and state government agencies, including the U.S. Department of Justice, the U.S. Environmental Protection Agency, the North Dakota Industrial Commission, the North Dakota Office of the Attorney General, the North Dakota Department of Environmental Quality, and the North Dakota Game and Fish Department. Subsequently, on August 4, 2021, the Partnership and several of its subsidiaries entered into the following agreements to resolve the U.S. federal and North Dakota state governments’ environmental claims with respect to the 2015 Blacktail Release: (i) a Consent Decree with (a) the U.S. Department of Justice (“DOJ”), on behalf of the U.S. Environmental Protection Agency and the U.S. Department of Interior, and (b) the State of North Dakota, on behalf of the North Dakota Department of Environmental Quality and the North Dakota Game and Fish Department (“Consent Decree”), lodged with the U.S. District Court for the District of North Dakota (“U.S. District Court”); (ii) a Plea Agreement with the United States, by and through the U.S. Attorney for the District of North Dakota, and the Environmental Crimes Section of the DOJ (“Plea Agreement”); and (iii) a Consent Agreement with the North Dakota Industrial Commission (“Consent Agreement” together with the Consent Decree and Plea Agreement, the “Global Settlement”). The Partnership increased its loss contingency for the 2015 Blacktail Release during the three months ended June 30, 2021 by $19.3 million. As of December 31, 2021, the accrued loss liability for the 2015 Blacktail Release was $33.2 million.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Key terms of the Global Settlement include (i) payment of penalties and fines totaling $36.3 million, consisting of $1.25 million in natural resource damages to the federal and state governments payable after court approval of the Global Settlement, $25.0 million payable to the federal government over five years, and $10.0 million payable to the state governments over six years, with interest applied to unpaid amounts accruing at a fixed rate of 3.25%, and of which $5.6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for one charge of negligent discharge of a harmful quantity of oil and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are subject to the approval of the U.S. District Court for the District of North Dakota (the “U.S. District Court”). The U.S. District Court entered an order making the civil components of the Global Settlement effective on September 28, 2021 and has set a hearing for December 6, 2021 on the criminal components of the Global Settlement, which if accepted by the U.S. District Court will complete approval of the Global Settlement.</w:t>
      </w:r>
    </w:p>
    <w:p>
      <w:pPr>
        <w:pStyle w:val="TextBody"/>
        <w:spacing w:lineRule="auto" w:line="288" w:before="120" w:after="283"/>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Partnership is involved in various litigation and administrative proceedings arising in the normal course of business. 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11. FINANCIAL INSTRUMENTS</w:t>
      </w:r>
    </w:p>
    <w:p>
      <w:pPr>
        <w:pStyle w:val="TextBody"/>
        <w:spacing w:lineRule="auto" w:line="288" w:before="120" w:after="283"/>
        <w:rPr/>
      </w:pPr>
      <w:r>
        <w:rPr>
          <w:rFonts w:ascii="Times New Roman;sans-serif" w:hAnsi="Times New Roman;sans-serif"/>
          <w:b/>
          <w:i/>
          <w:color w:val="000000"/>
          <w:sz w:val="20"/>
        </w:rPr>
        <w:t>Concentrations of Credit Risk.</w:t>
      </w:r>
      <w:r>
        <w:rPr>
          <w:color w:val="000000"/>
        </w:rPr>
        <w:t> </w:t>
      </w:r>
      <w:r>
        <w:rPr>
          <w:rFonts w:ascii="Times New Roman;sans-serif" w:hAnsi="Times New Roman;sans-serif"/>
          <w:b w:val="false"/>
          <w:color w:val="000000"/>
          <w:sz w:val="20"/>
        </w:rPr>
        <w:t>Financial instruments that potentially subject the Partnership to concentrations of credit risk consist of cash and cash equivalents, restricted cash and accounts receivable. The Partnership maintains its cash and cash equivalents and restricted cash in bank deposit accounts that frequently exceed federally insured limits. The Partnership has not experienced any losses in such accounts and does not believe it is exposed to any significant risk.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comprise amounts due for the gathering, compression, treating and processing services the Partnership provides to its customers and also the sale of natural gas liquids resulting from its processing services. This industry concentration has the potential to impact its overall exposure to credit risk, either positively or negatively, in that the Partnerships customers may be similarly affected by changes in economic, industry or other conditions. The Partnership monitors the creditworthiness of its counterparties and can require letters of credit or other forms of credit assurance for receivables from counterparties that are judged to have substandard credit, unless the credit risk can otherwise be mitigated. The Partnership’s top five customers or counterparties accounted for 38% of its total accounts receivable at December 31, 2021, compared to 51% as of December 31, 2020.</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The carrying amount of cash and cash equivalents, restricted cash, accounts receivable and trade accounts payable reported on the consolidated balance sheet approximates fair value due to their short-term maturities.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estimated fair value of the Partnerships debt financial instruments follows.</w:t>
      </w:r>
    </w:p>
    <w:tbl>
      <w:tblPr>
        <w:tblW w:w="6953" w:type="dxa"/>
        <w:jc w:val="left"/>
        <w:tblInd w:w="0" w:type="dxa"/>
        <w:tblCellMar>
          <w:top w:w="28" w:type="dxa"/>
          <w:left w:w="28" w:type="dxa"/>
          <w:bottom w:w="28" w:type="dxa"/>
          <w:right w:w="28" w:type="dxa"/>
        </w:tblCellMar>
      </w:tblPr>
      <w:tblGrid>
        <w:gridCol w:w="630"/>
        <w:gridCol w:w="552"/>
        <w:gridCol w:w="557"/>
        <w:gridCol w:w="281"/>
        <w:gridCol w:w="545"/>
        <w:gridCol w:w="119"/>
        <w:gridCol w:w="109"/>
        <w:gridCol w:w="109"/>
        <w:gridCol w:w="109"/>
        <w:gridCol w:w="282"/>
        <w:gridCol w:w="544"/>
        <w:gridCol w:w="125"/>
        <w:gridCol w:w="109"/>
        <w:gridCol w:w="109"/>
        <w:gridCol w:w="109"/>
        <w:gridCol w:w="211"/>
        <w:gridCol w:w="826"/>
        <w:gridCol w:w="109"/>
        <w:gridCol w:w="109"/>
        <w:gridCol w:w="109"/>
        <w:gridCol w:w="109"/>
        <w:gridCol w:w="211"/>
        <w:gridCol w:w="826"/>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7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Senior Notes</w:t>
            </w:r>
          </w:p>
        </w:tc>
        <w:tc>
          <w:tcPr>
            <w:tcW w:w="28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234,047 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215,713 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234,814 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718,083 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applicable unamortized debt issuance costs and debt discounts.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carrying value on the balance sheets of the ABL Facility, Revolving Credit Facility and Permian Transmission Credit Facility is its fair value due to its floating interest rate. The fair value for the 2026 Secured Notes, 2022 Senior Notes and 2025 Senior Notes is based on an average of nonbinding broker quotes as of December 31, 2021 and 2020. The use of different market assumptions or valuation methodologies may have a material effect on the estimated fair value of the Senior Notes.</w:t>
      </w:r>
    </w:p>
    <w:p>
      <w:pPr>
        <w:pStyle w:val="TextBody"/>
        <w:spacing w:lineRule="auto" w:line="288" w:before="120" w:after="283"/>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In connection with the Permian Transmission Credit Facility, the Partnership entered into amortizing interest rate swap agreements for a notional amount of $144.0 million.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Partnership’s interest rate swap agreements had a fair value of $0.8 million and are recorded within other current liabilities and other noncurrent liabilities within the consolidated balance sheets.</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12. PARTNERS' CAPITAL AND MEZZANINE CAPITAL</w:t>
      </w:r>
    </w:p>
    <w:p>
      <w:pPr>
        <w:pStyle w:val="TextBody"/>
        <w:spacing w:lineRule="auto" w:line="288" w:before="120" w:after="283"/>
        <w:rPr/>
      </w:pPr>
      <w:r>
        <w:rPr>
          <w:rFonts w:ascii="Times New Roman;sans-serif" w:hAnsi="Times New Roman;sans-serif"/>
          <w:b/>
          <w:i/>
          <w:color w:val="000000"/>
          <w:sz w:val="20"/>
        </w:rPr>
        <w:t>Common Units.</w:t>
      </w:r>
      <w:r>
        <w:rPr>
          <w:color w:val="000000"/>
        </w:rPr>
        <w:t> </w:t>
      </w:r>
      <w:r>
        <w:rPr>
          <w:rFonts w:ascii="Times New Roman;sans-serif" w:hAnsi="Times New Roman;sans-serif"/>
          <w:b w:val="false"/>
          <w:color w:val="000000"/>
          <w:sz w:val="20"/>
        </w:rPr>
        <w:t>A rollforward of the number of common limited partner units follows for the period from December 31, 2019 to December 31, 2021.</w:t>
      </w:r>
    </w:p>
    <w:tbl>
      <w:tblPr>
        <w:tblW w:w="7296" w:type="dxa"/>
        <w:jc w:val="left"/>
        <w:tblInd w:w="0" w:type="dxa"/>
        <w:tblCellMar>
          <w:top w:w="28" w:type="dxa"/>
          <w:left w:w="28" w:type="dxa"/>
          <w:bottom w:w="28" w:type="dxa"/>
          <w:right w:w="28" w:type="dxa"/>
        </w:tblCellMar>
      </w:tblPr>
      <w:tblGrid>
        <w:gridCol w:w="2083"/>
        <w:gridCol w:w="1834"/>
        <w:gridCol w:w="1842"/>
        <w:gridCol w:w="488"/>
        <w:gridCol w:w="488"/>
        <w:gridCol w:w="561"/>
      </w:tblGrid>
      <w:tr>
        <w:trPr/>
        <w:tc>
          <w:tcPr>
            <w:tcW w:w="2083"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5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pPr>
            <w:r>
              <w:rPr>
                <w:rFonts w:ascii="Times New Roman;sans-serif" w:hAnsi="Times New Roman;sans-serif"/>
                <w:b/>
                <w:color w:val="000000"/>
                <w:sz w:val="16"/>
              </w:rPr>
              <w:t>Common Units</w:t>
            </w:r>
            <w:r>
              <w:rPr>
                <w:rFonts w:ascii="Times New Roman;sans-serif" w:hAnsi="Times New Roman;sans-serif"/>
                <w:b/>
                <w:color w:val="000000"/>
                <w:sz w:val="10"/>
              </w:rPr>
              <w:t>(2)</w:t>
            </w:r>
          </w:p>
        </w:tc>
      </w:tr>
      <w:tr>
        <w:trPr/>
        <w:tc>
          <w:tcPr>
            <w:tcW w:w="5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3,021,258 </w:t>
            </w:r>
          </w:p>
        </w:tc>
        <w:tc>
          <w:tcPr>
            <w:tcW w:w="5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20"/>
              </w:rPr>
              <w:t>GP Buy-In Transaction</w:t>
            </w:r>
            <w:r>
              <w:rPr>
                <w:rFonts w:ascii="Times New Roman;sans-serif" w:hAnsi="Times New Roman;sans-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(132,687)</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95,987 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TL Restructuring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2,306,972 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 Exchange Offer, net of units withheld for taxes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817,845 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6,110,092 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Preferred Exchange Offer, net of units withheld for taxes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538,715 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106,580 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Warrant Exercise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414,447 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7,169,834 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2"/>
        </w:rPr>
        <w:t>(1)</w:t>
      </w:r>
      <w:r>
        <w:rPr>
          <w:rFonts w:ascii="Times New Roman;sans-serif" w:hAnsi="Times New Roman;sans-serif"/>
          <w:b w:val="false"/>
          <w:color w:val="000000"/>
          <w:sz w:val="18"/>
        </w:rPr>
        <w:t>The purchase price for the SMLP common units reflected in the consolidated statement of partners’ capital for the year ended December 31, 2020 is comprised of the (i) the $35.0 million cash payment to ECP, (ii) the $2.3 million fair value for the issuance of 0.7 million warrants, and (iii) $6.8 million of advisory fees and other direct costs related to closing the GP Buy-In Transaction.</w:t>
      </w:r>
    </w:p>
    <w:p>
      <w:pPr>
        <w:pStyle w:val="TextBody"/>
        <w:spacing w:lineRule="auto" w:line="288" w:before="120" w:after="283"/>
        <w:rPr/>
      </w:pPr>
      <w:r>
        <w:rPr>
          <w:rFonts w:ascii="Times New Roman;sans-serif" w:hAnsi="Times New Roman;sans-serif"/>
          <w:b w:val="false"/>
          <w:color w:val="000000"/>
          <w:sz w:val="12"/>
        </w:rPr>
        <w:t>(2)</w:t>
      </w:r>
      <w:r>
        <w:rPr>
          <w:rFonts w:ascii="Times New Roman;sans-serif" w:hAnsi="Times New Roman;sans-serif"/>
          <w:b w:val="false"/>
          <w:color w:val="000000"/>
          <w:sz w:val="18"/>
        </w:rPr>
        <w:t>As adjusted for reverse unit split.</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Series A Preferred Units.</w:t>
      </w:r>
      <w:r>
        <w:rPr>
          <w:color w:val="000000"/>
        </w:rPr>
        <w:t> </w:t>
      </w:r>
      <w:r>
        <w:rPr>
          <w:rFonts w:ascii="Times New Roman;sans-serif" w:hAnsi="Times New Roman;sans-serif"/>
          <w:b w:val="false"/>
          <w:color w:val="000000"/>
          <w:sz w:val="20"/>
        </w:rPr>
        <w:t>In November 2017, the Partnership issued 300,000 Series A Fixed-to-Floating Rate Cumulative Redeemable Perpetual Preferred Units (the “Series A Preferred Units”) representing limited partner interests in the Partnership at a price to the public of $1,000 per unit.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Series A Preferred Units rank senior to (i) common units representing limited partner interests in the Partnership and (ii) each other class or series of limited partner interests or other equity securities in the Partnership that may be established in the future that expressly ranks junior to the Series A Preferred Units as to the payment of distributions and amounts payable upon a liquidation event. The Series A Preferred Units rank equal in all respects with each class or series of limited partner interests or other equity securities in the Partnership that may be established in the future that is not expressly made senior or subordinated to the Series A Preferred Units as to the payment of distributions and amounts payable on a liquidation event. The Series A Preferred Units rank junior to (i) all of the Partnership’s existing and future indebtedness and other liabilities with respect to assets available to satisfy claims against the Partnership and (ii) each other class or series of limited partner interests or other equity securities in the Partnership established in the future that is expressly made senior to the Series A Preferred Units as to the payment of distributions and amounts payable upon a liquidation event. Income is allocated to the Series A Preferred Units in an amount equal to the earned distributions (whether these distributions are declared by the General Partner to be paid or not) for the respective reporting period.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w:t>
      </w:r>
    </w:p>
    <w:p>
      <w:pPr>
        <w:pStyle w:val="TextBody"/>
        <w:spacing w:lineRule="auto" w:line="288" w:before="120" w:after="283"/>
        <w:rPr/>
      </w:pPr>
      <w:r>
        <w:rPr>
          <w:rFonts w:ascii="Times New Roman;sans-serif" w:hAnsi="Times New Roman;sans-serif"/>
          <w:b w:val="false"/>
          <w:color w:val="000000"/>
          <w:sz w:val="20"/>
        </w:rPr>
        <w:t>In connection with the GP Buy-In Transaction,</w:t>
      </w:r>
      <w:r>
        <w:rPr>
          <w:color w:val="000000"/>
        </w:rPr>
        <w:t> </w:t>
      </w:r>
      <w:r>
        <w:rPr>
          <w:rFonts w:ascii="Times New Roman;sans-serif" w:hAnsi="Times New Roman;sans-serif"/>
          <w:b w:val="false"/>
          <w:color w:val="000000"/>
          <w:sz w:val="20"/>
        </w:rPr>
        <w:t xml:space="preserve">the Partnership suspended its distributions to be paid to holders of its Series A Preferred Units, commencing with respect to the quarter ending March 31, 2020. As of December 31, 2021, the amount of accrued and unpaid distributions on the Series A Preferred Units was $29.9 million.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rollforward of the number of Series A Preferred Units follows for the period from December 31, 2019 to December 31, 2021.</w:t>
      </w:r>
    </w:p>
    <w:tbl>
      <w:tblPr>
        <w:tblW w:w="4611" w:type="dxa"/>
        <w:jc w:val="left"/>
        <w:tblInd w:w="0" w:type="dxa"/>
        <w:tblCellMar>
          <w:top w:w="28" w:type="dxa"/>
          <w:left w:w="28" w:type="dxa"/>
          <w:bottom w:w="28" w:type="dxa"/>
          <w:right w:w="28" w:type="dxa"/>
        </w:tblCellMar>
      </w:tblPr>
      <w:tblGrid>
        <w:gridCol w:w="1177"/>
        <w:gridCol w:w="1037"/>
        <w:gridCol w:w="1041"/>
        <w:gridCol w:w="413"/>
        <w:gridCol w:w="413"/>
        <w:gridCol w:w="530"/>
      </w:tblGrid>
      <w:tr>
        <w:trPr/>
        <w:tc>
          <w:tcPr>
            <w:tcW w:w="1177"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br/>
              <w:t>Preferred Units</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2019</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5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 Exchange Offer</w:t>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(62,816)</w:t>
            </w:r>
          </w:p>
        </w:tc>
        <w:tc>
          <w:tcPr>
            <w:tcW w:w="5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 Tender</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(75,075)</w:t>
            </w:r>
          </w:p>
        </w:tc>
        <w:tc>
          <w:tcPr>
            <w:tcW w:w="5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 Exchange Offer</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w:t>
            </w:r>
          </w:p>
        </w:tc>
        <w:tc>
          <w:tcPr>
            <w:tcW w:w="5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143,447 </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i/>
          <w:color w:val="000000"/>
          <w:sz w:val="20"/>
        </w:rPr>
        <w:t>Series A Preferred Unit Exchange Offers</w:t>
      </w:r>
      <w:r>
        <w:rPr>
          <w:rFonts w:ascii="Times New Roman;sans-serif" w:hAnsi="Times New Roman;sans-serif"/>
          <w:b/>
          <w:color w:val="000000"/>
          <w:sz w:val="20"/>
        </w:rPr>
        <w:t xml:space="preserve">. </w:t>
      </w:r>
      <w:r>
        <w:rPr>
          <w:rFonts w:ascii="Times New Roman;sans-serif" w:hAnsi="Times New Roman;sans-serif"/>
          <w:b w:val="false"/>
          <w:color w:val="000000"/>
          <w:sz w:val="20"/>
        </w:rPr>
        <w:t>In April 2021, the Partnership completed an offer to exchange its Series A Preferred Units for newly issued common units, whereby it issued 538,715 SMLP common units, net of units withheld for withholding taxes, in exchange for 18,662 Series A Preferred Units.  In July 2020, the Partnership completed an offer to exchange its Series A Preferred Units for newly issued common units, whereby it issued 817,845 SMLP common units, net of units withheld for withholding taxes, in exchange for 62,816 Series A Preferred Units.</w:t>
      </w:r>
    </w:p>
    <w:p>
      <w:pPr>
        <w:pStyle w:val="TextBody"/>
        <w:spacing w:lineRule="auto" w:line="288" w:before="120" w:after="283"/>
        <w:rPr/>
      </w:pPr>
      <w:r>
        <w:rPr>
          <w:rFonts w:ascii="Times New Roman;sans-serif" w:hAnsi="Times New Roman;sans-serif"/>
          <w:b/>
          <w:i/>
          <w:color w:val="000000"/>
          <w:sz w:val="20"/>
        </w:rPr>
        <w:t>Series A Preferred Tender Offer.</w:t>
      </w:r>
      <w:r>
        <w:rPr>
          <w:color w:val="000000"/>
        </w:rPr>
        <w:t> </w:t>
      </w:r>
      <w:r>
        <w:rPr>
          <w:rFonts w:ascii="Times New Roman;sans-serif" w:hAnsi="Times New Roman;sans-serif"/>
          <w:b w:val="false"/>
          <w:color w:val="000000"/>
          <w:sz w:val="20"/>
        </w:rPr>
        <w:t>In December 2020, the Partnership completed a cash tender offer for its Series A Preferred Units whereby it accepted 75,075 Series A Preferred Units for a purchase price of $333.00 per Series A Preferred Unit and an aggregate purchase price of $25.0 million.</w:t>
      </w:r>
    </w:p>
    <w:p>
      <w:pPr>
        <w:pStyle w:val="TextBody"/>
        <w:spacing w:lineRule="auto" w:line="288" w:before="120" w:after="283"/>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 xml:space="preserve">The Partnership has Subsidiary Series A Preferred Units that ranks senior to each other class or series of limited partner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partner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partner interests or other equity securities in Permian Holdco established in the future that is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Distributions on the Subsidiary Series A Preferred Units are cumulative and compounding and are payable 21 days following the quarterly period ended March, June, September and December of each year (each, a “Series A Distribution Payment Date”) to holders of record as of the close of business on the first business day of the month of the applicable Series A Distribution Payment Date, in each case, when, as, and if declared by Permian Holdco out of legally available funds for such purpose.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distribution rate for the Subsidiary Series A Preferred Units is 7.00% per annum of the $1,000 liquidation preference per Subsidiary Series A Preferred Unit. A pro-rated initial distribution on the Subsidiary Series A Preferred Units was Paid-in-kind (“PIK”) on January 21, 2020 in an amount equal to 7.00% per Subsidiary Series A Preferred Unit plus 1.00% per annum of the undrawn commitment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Partnership issued 50,000 Subsidiary Series A Preferred Units at a price of $1,000 per unit for net proceeds of $48.7 million (after deducting underwriting discounts and offering expenses). All proceeds were used to fund capital expenses associated with the Double E Project.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Subsidiary Series A Preferred Units are considered redeemable securities under GAAP due to the existence of certain redemption provisions that are outside of the Partnership’s control. Therefore, the securities are classified as temporary equity in the mezzanine section of the consolidated balance sheets.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The Partnership also elected to make PIK distributions to holders of the Subsidiary Series A Preferred Units during the years ended December 31, 2021 and 2020, which increase the liquidation preference on each Subsidiary Series A Preferred Unit. Ultimately, Net Income (Loss) Attributable to common limited partners includes adjustments for PIK distributions and redemption accretion. During the years ended December 31, 2021 and 2020, the Partnership issued 6,131 and 5,251 Subsidiary Series A Preferred Units, respectively, through PIK transactions. As of December 31, 2021 and 2020, the Partnership had 91,439 and 85,308 Subsidiary Series A Preferred Units outstanding, respectively.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December 31, 2021, the redemption amount would be $114.3 million, when considering the applicable multiple of invested capital metric and make-whole amount provisions contained in the Subsidiary Series A Preferred Unit agreement.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Partnership’s Subsidiary Series A Preferred Unit balance during the year ended December 31, 2021:</w:t>
      </w:r>
    </w:p>
    <w:tbl>
      <w:tblPr>
        <w:tblW w:w="4086" w:type="dxa"/>
        <w:jc w:val="left"/>
        <w:tblInd w:w="0" w:type="dxa"/>
        <w:tblCellMar>
          <w:top w:w="28" w:type="dxa"/>
          <w:left w:w="28" w:type="dxa"/>
          <w:bottom w:w="28" w:type="dxa"/>
          <w:right w:w="28" w:type="dxa"/>
        </w:tblCellMar>
      </w:tblPr>
      <w:tblGrid>
        <w:gridCol w:w="1047"/>
        <w:gridCol w:w="922"/>
        <w:gridCol w:w="926"/>
        <w:gridCol w:w="211"/>
        <w:gridCol w:w="826"/>
        <w:gridCol w:w="154"/>
      </w:tblGrid>
      <w:tr>
        <w:trPr/>
        <w:tc>
          <w:tcPr>
            <w:tcW w:w="104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2020</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27,450 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issuances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 distributions</w:t>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w:t>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PIK distributions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Balance at December 31, 2021 </w:t>
            </w:r>
            <w:r>
              <w:rPr>
                <w:rFonts w:ascii="Times New Roman;sans-serif" w:hAnsi="Times New Roman;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pPr>
      <w:r>
        <w:rPr>
          <w:rFonts w:ascii="Times New Roman;sans-serif" w:hAnsi="Times New Roman;sans-serif"/>
          <w:b w:val="false"/>
          <w:color w:val="000000"/>
          <w:sz w:val="12"/>
        </w:rPr>
        <w:t>(1)</w:t>
      </w:r>
      <w:r>
        <w:rPr>
          <w:rFonts w:ascii="Times New Roman;sans-serif" w:hAnsi="Times New Roman;sans-serif"/>
          <w:b w:val="false"/>
          <w:color w:val="000000"/>
          <w:sz w:val="18"/>
        </w:rPr>
        <w:t>Amount is net of $3.9 million of issuance costs at December 31, 2021.</w:t>
      </w:r>
    </w:p>
    <w:p>
      <w:pPr>
        <w:pStyle w:val="TextBody"/>
        <w:spacing w:lineRule="auto" w:line="288" w:before="120" w:after="283"/>
        <w:rPr/>
      </w:pPr>
      <w:r>
        <w:rPr>
          <w:rFonts w:ascii="Times New Roman;sans-serif" w:hAnsi="Times New Roman;sans-serif"/>
          <w:b/>
          <w:i/>
          <w:color w:val="000000"/>
          <w:sz w:val="20"/>
        </w:rPr>
        <w:t>Warrants.</w:t>
      </w:r>
      <w:r>
        <w:rPr>
          <w:color w:val="000000"/>
        </w:rPr>
        <w:t> </w:t>
      </w:r>
      <w:r>
        <w:rPr>
          <w:rFonts w:ascii="Times New Roman;sans-serif" w:hAnsi="Times New Roman;sans-serif"/>
          <w:b w:val="false"/>
          <w:color w:val="000000"/>
          <w:sz w:val="20"/>
        </w:rPr>
        <w:t>On May 28, 2020 and in connection with the GP Buy-In Transaction, the Partnership issued (i) a warrant to purchase up to 537,307 SMLP common units (8,059,609 SMLP common units prior to the Reverse Unit Split) to ECP NewCo (the “ECP NewCo Warrant”) and (ii) a warrant to purchase up to 129,360 SMLP common units (1,940,391 SMLP common units prior to the Reverse Unit Split) to ECP Holdings (the “ECP Holdings Warrant” and together with the ECP NewCo Warrant, the “ECP Warrants”). The exercise price under the ECP Warrants was 15.35 per SMLP common unit. At issuance the ECP Warrants were valued at $2.3 million using a Black-Scholes model and accounted for as a liability instrument.</w:t>
      </w:r>
    </w:p>
    <w:p>
      <w:pPr>
        <w:pStyle w:val="TextBody"/>
        <w:spacing w:lineRule="auto" w:line="288" w:before="120" w:after="283"/>
        <w:rPr/>
      </w:pPr>
      <w:r>
        <w:rPr>
          <w:rFonts w:ascii="Times New Roman;sans-serif" w:hAnsi="Times New Roman;sans-serif"/>
          <w:b w:val="false"/>
          <w:color w:val="000000"/>
          <w:sz w:val="20"/>
        </w:rPr>
        <w:t>On August 5, 2021, the ECP Entities cashlessly exercised all of the ECP Warrants for an aggregate of 414,447 SMLP common units, net of the exercise price, as calculated pursuant to Section 3(c) of the ECP Warrants (the "ECP Warrant Exercise").</w:t>
      </w:r>
      <w:r>
        <w:rPr>
          <w:color w:val="000000"/>
        </w:rPr>
        <w:t xml:space="preserve"> </w:t>
      </w:r>
      <w:r>
        <w:rPr>
          <w:rFonts w:ascii="Times New Roman;sans-serif" w:hAnsi="Times New Roman;sans-serif"/>
          <w:b w:val="false"/>
          <w:color w:val="000000"/>
          <w:sz w:val="20"/>
        </w:rPr>
        <w:t xml:space="preserve">For the year ended December 31, 2021, the Partnership recognized a $13.6 million loss related to the ECP Warrants.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In connection with the GP Buy-In Transaction, the Partnership suspended its cash distributions to holders of its common units, commencing with respect to the quarter ending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w:t>
      </w:r>
    </w:p>
    <w:p>
      <w:pPr>
        <w:pStyle w:val="TextBody"/>
        <w:spacing w:lineRule="auto" w:line="288" w:before="120" w:after="283"/>
        <w:rPr/>
      </w:pPr>
      <w:r>
        <w:rPr>
          <w:rFonts w:ascii="Times New Roman;sans-serif" w:hAnsi="Times New Roman;sans-serif"/>
          <w:b/>
          <w:i/>
          <w:color w:val="000000"/>
          <w:sz w:val="20"/>
        </w:rPr>
        <w:t>Cash Distributions Paid and Declared.</w:t>
      </w:r>
      <w:r>
        <w:rPr>
          <w:color w:val="000000"/>
        </w:rPr>
        <w:t> </w:t>
      </w:r>
      <w:r>
        <w:rPr>
          <w:rFonts w:ascii="Times New Roman;sans-serif" w:hAnsi="Times New Roman;sans-serif"/>
          <w:b w:val="false"/>
          <w:color w:val="000000"/>
          <w:sz w:val="20"/>
        </w:rPr>
        <w:t>Prior to the GP Buy-In Transaction, on January 29, 2020, the Board of Directors declared a distribution of $0.125 per unit for the quarterly period ended December 31, 2020 This distribution, which totaled $11.7 million, was paid on February 14, 2020 to unitholders of record at the close of business on February 7,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13. EARNINGS PER UNIT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EPU.</w:t>
      </w:r>
    </w:p>
    <w:tbl>
      <w:tblPr>
        <w:tblW w:w="10015" w:type="dxa"/>
        <w:jc w:val="left"/>
        <w:tblInd w:w="0" w:type="dxa"/>
        <w:tblCellMar>
          <w:top w:w="28" w:type="dxa"/>
          <w:left w:w="28" w:type="dxa"/>
          <w:bottom w:w="28" w:type="dxa"/>
          <w:right w:w="28" w:type="dxa"/>
        </w:tblCellMar>
      </w:tblPr>
      <w:tblGrid>
        <w:gridCol w:w="2532"/>
        <w:gridCol w:w="2222"/>
        <w:gridCol w:w="2235"/>
        <w:gridCol w:w="242"/>
        <w:gridCol w:w="915"/>
        <w:gridCol w:w="125"/>
        <w:gridCol w:w="125"/>
        <w:gridCol w:w="125"/>
        <w:gridCol w:w="125"/>
        <w:gridCol w:w="242"/>
        <w:gridCol w:w="950"/>
        <w:gridCol w:w="177"/>
      </w:tblGrid>
      <w:tr>
        <w:trPr/>
        <w:tc>
          <w:tcPr>
            <w:tcW w:w="2532"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EPU:</w:t>
            </w:r>
          </w:p>
        </w:tc>
        <w:tc>
          <w:tcPr>
            <w:tcW w:w="128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 (loss) among limited partner interests:</w:t>
            </w:r>
          </w:p>
        </w:tc>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189,078 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Subsidiary Series A Preferred Units</w:t>
            </w:r>
          </w:p>
        </w:tc>
        <w:tc>
          <w:tcPr>
            <w:tcW w:w="11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15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Summit Midstream Partners, LP</w:t>
            </w:r>
          </w:p>
        </w:tc>
        <w:tc>
          <w:tcPr>
            <w:tcW w:w="11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(36,616)</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178,854 </w:t>
            </w:r>
          </w:p>
        </w:tc>
        <w:tc>
          <w:tcPr>
            <w:tcW w:w="1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w:t>
            </w:r>
          </w:p>
        </w:tc>
        <w:tc>
          <w:tcPr>
            <w:tcW w:w="11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(26,529)</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Deemed capital contribution</w:t>
            </w:r>
          </w:p>
        </w:tc>
        <w:tc>
          <w:tcPr>
            <w:tcW w:w="115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110,669 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limited partners</w:t>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(44,288)</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262,994 </w:t>
            </w:r>
          </w:p>
        </w:tc>
        <w:tc>
          <w:tcPr>
            <w:tcW w:w="1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for basic and diluted EPU:</w:t>
            </w:r>
          </w:p>
        </w:tc>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units outstanding – basic</w:t>
            </w:r>
          </w:p>
        </w:tc>
        <w:tc>
          <w:tcPr>
            <w:tcW w:w="115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nonvested phantom units</w:t>
            </w:r>
          </w:p>
        </w:tc>
        <w:tc>
          <w:tcPr>
            <w:tcW w:w="11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units outstanding – diluted</w:t>
            </w:r>
          </w:p>
        </w:tc>
        <w:tc>
          <w:tcPr>
            <w:tcW w:w="115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77"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limited partner unit:</w:t>
            </w:r>
          </w:p>
        </w:tc>
        <w:tc>
          <w:tcPr>
            <w:tcW w:w="128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24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24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anti-dilutive phantom units excluded from the calculation of diluted EPU</w:t>
            </w:r>
          </w:p>
        </w:tc>
        <w:tc>
          <w:tcPr>
            <w:tcW w:w="115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7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14. SUPPLEMENTAL CASH FLOW INFORMATION</w:t>
      </w:r>
    </w:p>
    <w:tbl>
      <w:tblPr>
        <w:tblW w:w="8138" w:type="dxa"/>
        <w:jc w:val="left"/>
        <w:tblInd w:w="0" w:type="dxa"/>
        <w:tblCellMar>
          <w:top w:w="28" w:type="dxa"/>
          <w:left w:w="28" w:type="dxa"/>
          <w:bottom w:w="28" w:type="dxa"/>
          <w:right w:w="28" w:type="dxa"/>
        </w:tblCellMar>
      </w:tblPr>
      <w:tblGrid>
        <w:gridCol w:w="2059"/>
        <w:gridCol w:w="1808"/>
        <w:gridCol w:w="1817"/>
        <w:gridCol w:w="211"/>
        <w:gridCol w:w="721"/>
        <w:gridCol w:w="109"/>
        <w:gridCol w:w="109"/>
        <w:gridCol w:w="109"/>
        <w:gridCol w:w="109"/>
        <w:gridCol w:w="211"/>
        <w:gridCol w:w="721"/>
        <w:gridCol w:w="154"/>
      </w:tblGrid>
      <w:tr>
        <w:trPr/>
        <w:tc>
          <w:tcPr>
            <w:tcW w:w="2059"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for GP Buy-In Transaction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relating to ASC Topic 842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SMLP equity for TL Restructuring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ECP Warrants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15. UNIT-BASED AND NONCASH COMPENSATION</w:t>
      </w:r>
    </w:p>
    <w:p>
      <w:pPr>
        <w:pStyle w:val="TextBody"/>
        <w:spacing w:lineRule="auto" w:line="288" w:before="120" w:after="283"/>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 xml:space="preserve">The Partnership’s Long-Term Incentive Plan (“SMLP LTIP”) provides for equity awards to eligible officers, employees, consultants and directors of the Partnership, thereby linking the recipients' compensation directly to SMLP’s performance. The SMLP LTIP provides for the granting, from time to time, of unit-based awards, including common units, restricted units, phantom units, unit options, unit appreciation rights, distribution equivalent rights, profits interest units and other unit-based awards. Grants are made at the discretion of the Board of Directors or Compensation Committee. A total of 1.0 million common units was reserved for issuance pursuant to and in accordance with the SMLP LTIP. As of December 31, 2021, approximately 0.3 million common units remained available for future issuance. Significant items for the year ended December 31, 2021: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For the year ended December 31, 2021, the Partnership granted 159,239 phantom units and associated distribution equivalent rights to employees. These awards had a grant date fair value of $20.65 per common unit and vest ratably over a three-year period.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For the year ended December 31, 2021, the Partnership issued 40,002 common units to the Partnership’s six independent directors in connection with their annual compensation plan. These awards had a grant date fair value of $28.99 per common unit and vested immediately.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phantom unit activity for the periods presented:</w:t>
      </w:r>
    </w:p>
    <w:tbl>
      <w:tblPr>
        <w:tblW w:w="8378" w:type="dxa"/>
        <w:jc w:val="left"/>
        <w:tblInd w:w="0" w:type="dxa"/>
        <w:tblCellMar>
          <w:top w:w="28" w:type="dxa"/>
          <w:left w:w="28" w:type="dxa"/>
          <w:bottom w:w="28" w:type="dxa"/>
          <w:right w:w="28" w:type="dxa"/>
        </w:tblCellMar>
      </w:tblPr>
      <w:tblGrid>
        <w:gridCol w:w="1429"/>
        <w:gridCol w:w="1254"/>
        <w:gridCol w:w="1262"/>
        <w:gridCol w:w="449"/>
        <w:gridCol w:w="451"/>
        <w:gridCol w:w="161"/>
        <w:gridCol w:w="109"/>
        <w:gridCol w:w="109"/>
        <w:gridCol w:w="109"/>
        <w:gridCol w:w="590"/>
        <w:gridCol w:w="2021"/>
        <w:gridCol w:w="434"/>
      </w:tblGrid>
      <w:tr>
        <w:trPr/>
        <w:tc>
          <w:tcPr>
            <w:tcW w:w="1429"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units, December 31, 2019</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345,997 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units, December 31, 2020</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Phantom units 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phantom units, December 31, 2021</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phantom unit is a notional unit that entitles the grantee to receive a common unit upon the vesting of the phantom unit or on a deferred basis upon specified future dates or events or, in the discretion of the administrator, cash equal to the fair market value of a common unit. Distribution equivalent rights for each phantom unit provide for a lump sum cash amount equal to the accrued distributions from the grant date to be paid in cash upon the vesting date.</w:t>
      </w:r>
    </w:p>
    <w:p>
      <w:pPr>
        <w:pStyle w:val="TextBody"/>
        <w:spacing w:lineRule="auto" w:line="288" w:before="120" w:after="283"/>
        <w:rPr/>
      </w:pPr>
      <w:r>
        <w:rPr>
          <w:rFonts w:ascii="Times New Roman;sans-serif" w:hAnsi="Times New Roman;sans-serif"/>
          <w:b w:val="false"/>
          <w:color w:val="000000"/>
          <w:sz w:val="22"/>
        </w:rPr>
        <w:t>P</w:t>
      </w:r>
      <w:r>
        <w:rPr>
          <w:rFonts w:ascii="Times New Roman;sans-serif" w:hAnsi="Times New Roman;sans-serif"/>
          <w:b w:val="false"/>
          <w:color w:val="000000"/>
          <w:sz w:val="20"/>
        </w:rPr>
        <w:t xml:space="preserve">hantom units granted to date generally vest ratably over a three year period. Grant date fair value is determined based on the closing price of SMLP’s common units on the date of grant multiplied by the number of phantom units awarded to the grantee.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Forfeitures are recorded as incurred. Holders of all phantom units granted to date are entitled to receive distribution equivalent rights for each phantom unit, providing for a lump sum cash amount equal to the accrued distributions from the grant date of the phantom units to be paid in cash upon the vesting date. Upon vesting, phantom unit awards may be settled, at the Partnership’s discretion, in cash and/or common units, but the current intention is to settle all phantom unit awards with common units.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intrinsic value of phantom units that vested during the years ended December 31, follows.</w:t>
      </w:r>
    </w:p>
    <w:tbl>
      <w:tblPr>
        <w:tblW w:w="5363" w:type="dxa"/>
        <w:jc w:val="left"/>
        <w:tblInd w:w="0" w:type="dxa"/>
        <w:tblCellMar>
          <w:top w:w="28" w:type="dxa"/>
          <w:left w:w="28" w:type="dxa"/>
          <w:bottom w:w="28" w:type="dxa"/>
          <w:right w:w="28" w:type="dxa"/>
        </w:tblCellMar>
      </w:tblPr>
      <w:tblGrid>
        <w:gridCol w:w="1129"/>
        <w:gridCol w:w="991"/>
        <w:gridCol w:w="999"/>
        <w:gridCol w:w="211"/>
        <w:gridCol w:w="616"/>
        <w:gridCol w:w="109"/>
        <w:gridCol w:w="109"/>
        <w:gridCol w:w="109"/>
        <w:gridCol w:w="109"/>
        <w:gridCol w:w="211"/>
        <w:gridCol w:w="616"/>
        <w:gridCol w:w="154"/>
      </w:tblGrid>
      <w:tr>
        <w:trPr/>
        <w:tc>
          <w:tcPr>
            <w:tcW w:w="112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vested LTIP awards</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unrecognized unit-based compensation related to the SMLP LTIP was $2.6 million. Incremental unit-based compensation will be recorded over the remaining weighted-average vesting period of approximately 1.3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Unit-based compensation recognized in general and administrative expense related to awards under the SMLP LTIP follows.</w:t>
      </w:r>
    </w:p>
    <w:tbl>
      <w:tblPr>
        <w:tblW w:w="5408" w:type="dxa"/>
        <w:jc w:val="left"/>
        <w:tblInd w:w="0" w:type="dxa"/>
        <w:tblCellMar>
          <w:top w:w="28" w:type="dxa"/>
          <w:left w:w="28" w:type="dxa"/>
          <w:bottom w:w="28" w:type="dxa"/>
          <w:right w:w="28" w:type="dxa"/>
        </w:tblCellMar>
      </w:tblPr>
      <w:tblGrid>
        <w:gridCol w:w="1147"/>
        <w:gridCol w:w="1006"/>
        <w:gridCol w:w="1011"/>
        <w:gridCol w:w="211"/>
        <w:gridCol w:w="616"/>
        <w:gridCol w:w="109"/>
        <w:gridCol w:w="109"/>
        <w:gridCol w:w="109"/>
        <w:gridCol w:w="109"/>
        <w:gridCol w:w="211"/>
        <w:gridCol w:w="616"/>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6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 unit-based compensation</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16. LEASES</w:t>
      </w:r>
    </w:p>
    <w:p>
      <w:pPr>
        <w:pStyle w:val="TextBody"/>
        <w:spacing w:lineRule="auto" w:line="288" w:before="120" w:after="283"/>
        <w:rPr/>
      </w:pPr>
      <w:r>
        <w:rPr>
          <w:rFonts w:ascii="Times New Roman;sans-serif" w:hAnsi="Times New Roman;sans-serif"/>
          <w:b/>
          <w:i/>
          <w:color w:val="000000"/>
          <w:sz w:val="20"/>
        </w:rPr>
        <w:t>Leases.</w:t>
      </w:r>
      <w:r>
        <w:rPr>
          <w:color w:val="000000"/>
        </w:rPr>
        <w:t> </w:t>
      </w:r>
      <w:r>
        <w:rPr>
          <w:rFonts w:ascii="Times New Roman;sans-serif" w:hAnsi="Times New Roman;sans-serif"/>
          <w:b w:val="false"/>
          <w:color w:val="000000"/>
          <w:sz w:val="20"/>
        </w:rPr>
        <w:t>The Partnership leases certain office space and equipment under operating leases. The Partnership leases office space for terms of between 3 and 10 years. Office space leases limit exposure to risks related to ownership, such as fluctuations in real estate prices. The Partnership leases equipment primarily to support its operations in response to the needs of its gathering systems for terms of between 3 and 4 years. The Partnership also leases vehicles under finance leases to support its operations in response to the needs of its gathering systems for a term of 3 years.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Some of the Partnerships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Significant assumptions or judgments include the determination of whether a contract contains a lease and the discount rate used in the lease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rate implicit in the lease contracts are not readily determinable. In determining the discount rate used in for lease liabilities, the Partnership analyzed certain factors in its incremental borrowing rate, including collateral assumptions and the term used. The incremental borrowing rate on the ABL Facility was 3.38% at December 31, 2021, which reflects the fixed rate at which the Partnership could borrow a similar amount, for a similar term and with similar collateral as in the lease contracts at the commencement date.</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ROU assets (included in the other noncurrent assets caption on the Partnership’s consolidated balance sheet) and lease liabilities (included in the Other current liabilities and Other noncurrent liabilities captions on the Partnership’s consolidated balance sheet) follow:</w:t>
      </w:r>
    </w:p>
    <w:tbl>
      <w:tblPr>
        <w:tblW w:w="5860" w:type="dxa"/>
        <w:jc w:val="left"/>
        <w:tblInd w:w="0" w:type="dxa"/>
        <w:tblCellMar>
          <w:top w:w="28" w:type="dxa"/>
          <w:left w:w="28" w:type="dxa"/>
          <w:bottom w:w="28" w:type="dxa"/>
          <w:right w:w="28" w:type="dxa"/>
        </w:tblCellMar>
      </w:tblPr>
      <w:tblGrid>
        <w:gridCol w:w="899"/>
        <w:gridCol w:w="791"/>
        <w:gridCol w:w="800"/>
        <w:gridCol w:w="338"/>
        <w:gridCol w:w="987"/>
        <w:gridCol w:w="174"/>
        <w:gridCol w:w="109"/>
        <w:gridCol w:w="109"/>
        <w:gridCol w:w="109"/>
        <w:gridCol w:w="332"/>
        <w:gridCol w:w="970"/>
        <w:gridCol w:w="242"/>
      </w:tblGrid>
      <w:tr>
        <w:trPr/>
        <w:tc>
          <w:tcPr>
            <w:tcW w:w="89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ROU assets</w:t>
            </w:r>
          </w:p>
        </w:tc>
        <w:tc>
          <w:tcPr>
            <w:tcW w:w="149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2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current</w:t>
            </w:r>
          </w:p>
        </w:tc>
        <w:tc>
          <w:tcPr>
            <w:tcW w:w="149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2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noncurrent</w:t>
            </w:r>
          </w:p>
        </w:tc>
        <w:tc>
          <w:tcPr>
            <w:tcW w:w="149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1325"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Lease cost and Other information follow:</w:t>
      </w:r>
    </w:p>
    <w:tbl>
      <w:tblPr>
        <w:tblW w:w="8199" w:type="dxa"/>
        <w:jc w:val="left"/>
        <w:tblInd w:w="0" w:type="dxa"/>
        <w:tblCellMar>
          <w:top w:w="28" w:type="dxa"/>
          <w:left w:w="28" w:type="dxa"/>
          <w:bottom w:w="28" w:type="dxa"/>
          <w:right w:w="28" w:type="dxa"/>
        </w:tblCellMar>
      </w:tblPr>
      <w:tblGrid>
        <w:gridCol w:w="2156"/>
        <w:gridCol w:w="1896"/>
        <w:gridCol w:w="1903"/>
        <w:gridCol w:w="211"/>
        <w:gridCol w:w="616"/>
        <w:gridCol w:w="109"/>
        <w:gridCol w:w="109"/>
        <w:gridCol w:w="109"/>
        <w:gridCol w:w="109"/>
        <w:gridCol w:w="211"/>
        <w:gridCol w:w="616"/>
        <w:gridCol w:w="154"/>
      </w:tblGrid>
      <w:tr>
        <w:trPr/>
        <w:tc>
          <w:tcPr>
            <w:tcW w:w="2156"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93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 (included in depreciation and amortization)</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(included in interest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(included in general and administrative expense)</w:t>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8372" w:type="dxa"/>
        <w:jc w:val="left"/>
        <w:tblInd w:w="0" w:type="dxa"/>
        <w:tblCellMar>
          <w:top w:w="28" w:type="dxa"/>
          <w:left w:w="28" w:type="dxa"/>
          <w:bottom w:w="28" w:type="dxa"/>
          <w:right w:w="28" w:type="dxa"/>
        </w:tblCellMar>
      </w:tblPr>
      <w:tblGrid>
        <w:gridCol w:w="2102"/>
        <w:gridCol w:w="1846"/>
        <w:gridCol w:w="1856"/>
        <w:gridCol w:w="211"/>
        <w:gridCol w:w="616"/>
        <w:gridCol w:w="271"/>
        <w:gridCol w:w="109"/>
        <w:gridCol w:w="109"/>
        <w:gridCol w:w="109"/>
        <w:gridCol w:w="211"/>
        <w:gridCol w:w="616"/>
        <w:gridCol w:w="316"/>
      </w:tblGrid>
      <w:tr>
        <w:trPr/>
        <w:tc>
          <w:tcPr>
            <w:tcW w:w="2102"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09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w:t>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finance lease liabilities</w:t>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 operating leases</w:t>
            </w:r>
          </w:p>
        </w:tc>
        <w:tc>
          <w:tcPr>
            <w:tcW w:w="109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 - finance leases</w:t>
            </w:r>
          </w:p>
        </w:tc>
        <w:tc>
          <w:tcPr>
            <w:tcW w:w="1098" w:type="dxa"/>
            <w:gridSpan w:val="3"/>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0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recognizes total lease expense incurred or allocated to us in general and administrative expenses. Lease expense related to operating leases, including lease expense incurred on the Partnership’s behalf and allocated to us, was as follows:</w:t>
      </w:r>
    </w:p>
    <w:tbl>
      <w:tblPr>
        <w:tblW w:w="3533" w:type="dxa"/>
        <w:jc w:val="left"/>
        <w:tblInd w:w="0" w:type="dxa"/>
        <w:tblCellMar>
          <w:top w:w="28" w:type="dxa"/>
          <w:left w:w="28" w:type="dxa"/>
          <w:bottom w:w="28" w:type="dxa"/>
          <w:right w:w="28" w:type="dxa"/>
        </w:tblCellMar>
      </w:tblPr>
      <w:tblGrid>
        <w:gridCol w:w="467"/>
        <w:gridCol w:w="409"/>
        <w:gridCol w:w="413"/>
        <w:gridCol w:w="211"/>
        <w:gridCol w:w="616"/>
        <w:gridCol w:w="109"/>
        <w:gridCol w:w="109"/>
        <w:gridCol w:w="109"/>
        <w:gridCol w:w="109"/>
        <w:gridCol w:w="211"/>
        <w:gridCol w:w="616"/>
        <w:gridCol w:w="154"/>
      </w:tblGrid>
      <w:tr>
        <w:trPr/>
        <w:tc>
          <w:tcPr>
            <w:tcW w:w="46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due under noncancelable leases at December 31, 2021, were as follows:</w:t>
      </w:r>
    </w:p>
    <w:tbl>
      <w:tblPr>
        <w:tblW w:w="5274" w:type="dxa"/>
        <w:jc w:val="left"/>
        <w:tblInd w:w="0" w:type="dxa"/>
        <w:tblCellMar>
          <w:top w:w="28" w:type="dxa"/>
          <w:left w:w="28" w:type="dxa"/>
          <w:bottom w:w="28" w:type="dxa"/>
          <w:right w:w="28" w:type="dxa"/>
        </w:tblCellMar>
      </w:tblPr>
      <w:tblGrid>
        <w:gridCol w:w="1150"/>
        <w:gridCol w:w="1008"/>
        <w:gridCol w:w="1022"/>
        <w:gridCol w:w="211"/>
        <w:gridCol w:w="616"/>
        <w:gridCol w:w="109"/>
        <w:gridCol w:w="109"/>
        <w:gridCol w:w="109"/>
        <w:gridCol w:w="109"/>
        <w:gridCol w:w="211"/>
        <w:gridCol w:w="466"/>
        <w:gridCol w:w="154"/>
      </w:tblGrid>
      <w:tr>
        <w:trPr/>
        <w:tc>
          <w:tcPr>
            <w:tcW w:w="115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17. RESTRUCTURING</w:t>
      </w:r>
    </w:p>
    <w:p>
      <w:pPr>
        <w:pStyle w:val="TextBody"/>
        <w:spacing w:lineRule="auto" w:line="288" w:before="120" w:after="283"/>
        <w:rPr/>
      </w:pPr>
      <w:r>
        <w:rPr>
          <w:rFonts w:ascii="Times New Roman;sans-serif" w:hAnsi="Times New Roman;sans-serif"/>
          <w:b/>
          <w:i/>
          <w:color w:val="000000"/>
          <w:sz w:val="20"/>
        </w:rPr>
        <w:t xml:space="preserve">2020 Restructuring Activities. </w:t>
      </w:r>
      <w:r>
        <w:rPr>
          <w:rFonts w:ascii="Times New Roman;sans-serif" w:hAnsi="Times New Roman;sans-serif"/>
          <w:b w:val="false"/>
          <w:color w:val="000000"/>
          <w:sz w:val="20"/>
        </w:rPr>
        <w:t>In late 2020, management initiated the 2020 Restructuring Plan, resulting in certain management, facility and organizational changes. Under the 2020 Restructuring Plan, and during the years ended December 31, 2021 and 2020, the Partnership expensed approximately $0.9 million and $5.6 million, respectively, of costs associated with these restructuring activities. These activities consisted primarily of employee-related severance costs and are included within the General and administrative caption on the consolidated statement of operations.</w:t>
      </w:r>
    </w:p>
    <w:p>
      <w:pPr>
        <w:pStyle w:val="TextBody"/>
        <w:spacing w:lineRule="auto" w:line="288" w:before="120" w:after="283"/>
        <w:rPr/>
      </w:pPr>
      <w:r>
        <w:rPr>
          <w:rFonts w:ascii="Times New Roman;sans-serif" w:hAnsi="Times New Roman;sans-serif"/>
          <w:b/>
          <w:i/>
          <w:color w:val="000000"/>
          <w:sz w:val="20"/>
        </w:rPr>
        <w:t>2019 Restructuring Activities.</w:t>
      </w:r>
      <w:r>
        <w:rPr>
          <w:color w:val="000000"/>
        </w:rPr>
        <w:t> </w:t>
      </w:r>
      <w:r>
        <w:rPr>
          <w:rFonts w:ascii="Times New Roman;sans-serif" w:hAnsi="Times New Roman;sans-serif"/>
          <w:b w:val="false"/>
          <w:color w:val="000000"/>
          <w:sz w:val="20"/>
        </w:rPr>
        <w:t>In 2019, management approved and initiated a plan to restructure its operations (“2019 Restructuring Plan”), resulting in certain management, facility and organizational changes. Under the 2019 Restructuring Plan, the Partnership expensed approximately $3.5 million, of costs associated with its restructuring activities. These activities consisted primarily of employee-related costs and consulting costs in support of the project. These costs are included within the General and administrative caption on the consolidated statement of operations</w:t>
      </w:r>
      <w:r>
        <w:rPr>
          <w:rFonts w:ascii="Times New Roman;sans-serif" w:hAnsi="Times New Roman;sans-serif"/>
          <w:b/>
          <w:i/>
          <w:color w:val="000000"/>
          <w:sz w:val="2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Details for the 2020 and 2019 Restructuring Plans follow.</w:t>
      </w:r>
    </w:p>
    <w:tbl>
      <w:tblPr>
        <w:tblW w:w="9146" w:type="dxa"/>
        <w:jc w:val="left"/>
        <w:tblInd w:w="0" w:type="dxa"/>
        <w:tblCellMar>
          <w:top w:w="28" w:type="dxa"/>
          <w:left w:w="28" w:type="dxa"/>
          <w:bottom w:w="28" w:type="dxa"/>
          <w:right w:w="28" w:type="dxa"/>
        </w:tblCellMar>
      </w:tblPr>
      <w:tblGrid>
        <w:gridCol w:w="761"/>
        <w:gridCol w:w="669"/>
        <w:gridCol w:w="670"/>
        <w:gridCol w:w="211"/>
        <w:gridCol w:w="466"/>
        <w:gridCol w:w="109"/>
        <w:gridCol w:w="109"/>
        <w:gridCol w:w="109"/>
        <w:gridCol w:w="109"/>
        <w:gridCol w:w="211"/>
        <w:gridCol w:w="616"/>
        <w:gridCol w:w="109"/>
        <w:gridCol w:w="109"/>
        <w:gridCol w:w="109"/>
        <w:gridCol w:w="109"/>
        <w:gridCol w:w="230"/>
        <w:gridCol w:w="508"/>
        <w:gridCol w:w="118"/>
        <w:gridCol w:w="118"/>
        <w:gridCol w:w="118"/>
        <w:gridCol w:w="118"/>
        <w:gridCol w:w="230"/>
        <w:gridCol w:w="672"/>
        <w:gridCol w:w="118"/>
        <w:gridCol w:w="109"/>
        <w:gridCol w:w="109"/>
        <w:gridCol w:w="109"/>
        <w:gridCol w:w="213"/>
        <w:gridCol w:w="470"/>
        <w:gridCol w:w="110"/>
        <w:gridCol w:w="110"/>
        <w:gridCol w:w="110"/>
        <w:gridCol w:w="110"/>
        <w:gridCol w:w="213"/>
        <w:gridCol w:w="622"/>
        <w:gridCol w:w="155"/>
      </w:tblGrid>
      <w:tr>
        <w:trPr/>
        <w:tc>
          <w:tcPr>
            <w:tcW w:w="7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Restructuring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Severance and Other</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Restructuring Plan</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Restructuring Plan</w:t>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75"/>
        <w:gridCol w:w="506"/>
        <w:gridCol w:w="508"/>
        <w:gridCol w:w="225"/>
        <w:gridCol w:w="659"/>
        <w:gridCol w:w="116"/>
        <w:gridCol w:w="109"/>
        <w:gridCol w:w="109"/>
        <w:gridCol w:w="109"/>
        <w:gridCol w:w="216"/>
        <w:gridCol w:w="631"/>
        <w:gridCol w:w="111"/>
        <w:gridCol w:w="109"/>
        <w:gridCol w:w="109"/>
        <w:gridCol w:w="109"/>
        <w:gridCol w:w="213"/>
        <w:gridCol w:w="641"/>
        <w:gridCol w:w="110"/>
        <w:gridCol w:w="109"/>
        <w:gridCol w:w="109"/>
        <w:gridCol w:w="109"/>
        <w:gridCol w:w="225"/>
        <w:gridCol w:w="659"/>
        <w:gridCol w:w="116"/>
        <w:gridCol w:w="109"/>
        <w:gridCol w:w="109"/>
        <w:gridCol w:w="109"/>
        <w:gridCol w:w="219"/>
        <w:gridCol w:w="485"/>
        <w:gridCol w:w="113"/>
        <w:gridCol w:w="109"/>
        <w:gridCol w:w="109"/>
        <w:gridCol w:w="109"/>
        <w:gridCol w:w="213"/>
        <w:gridCol w:w="641"/>
        <w:gridCol w:w="110"/>
        <w:gridCol w:w="109"/>
        <w:gridCol w:w="109"/>
        <w:gridCol w:w="109"/>
        <w:gridCol w:w="257"/>
        <w:gridCol w:w="495"/>
        <w:gridCol w:w="199"/>
      </w:tblGrid>
      <w:tr>
        <w:trPr/>
        <w:tc>
          <w:tcPr>
            <w:tcW w:w="57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Incurred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Incurred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Payments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December 31, 2021</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6"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8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5"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11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FF0FC"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spacing w:lineRule="auto" w:line="288" w:before="120" w:after="283"/>
        <w:rPr/>
      </w:pPr>
      <w:r>
        <w:rPr>
          <w:rFonts w:ascii="Times New Roman;sans-serif" w:hAnsi="Times New Roman;sans-serif"/>
          <w:b w:val="false"/>
          <w:color w:val="000000"/>
          <w:sz w:val="20"/>
        </w:rPr>
        <w:t>In accordance with ASC No. 280 - Segment Reporting, the Partnership routinely evaluates whether its reportable segments have changed. In the fourth quarter of 2021, the Partnership changed its segment reporting to align with how the General Partner’s Chief Executive Officer, its chief operating decision maker, reviews financial information in order to allocate resources and assess performance.</w:t>
      </w:r>
      <w:r>
        <w:rPr>
          <w:color w:val="000000"/>
        </w:rPr>
        <w:t xml:space="preserve"> </w:t>
      </w:r>
      <w:r>
        <w:rPr>
          <w:rFonts w:ascii="Times New Roman;sans-serif" w:hAnsi="Times New Roman;sans-serif"/>
          <w:b w:val="false"/>
          <w:color w:val="000000"/>
          <w:sz w:val="20"/>
        </w:rPr>
        <w:t>The new segment reporting resulted from changes enacted to optimize commercial efforts and geographic workforce in order to better align its commercial, engineering, and operational capabilities.</w:t>
      </w:r>
    </w:p>
    <w:p>
      <w:pPr>
        <w:pStyle w:val="TextBody"/>
        <w:spacing w:lineRule="auto" w:line="288" w:before="120" w:after="283"/>
        <w:rPr/>
      </w:pPr>
      <w:r>
        <w:rPr>
          <w:rFonts w:ascii="Times New Roman;sans-serif" w:hAnsi="Times New Roman;sans-serif"/>
          <w:b w:val="false"/>
          <w:color w:val="000000"/>
          <w:sz w:val="20"/>
        </w:rPr>
        <w:t>The Partnership’s current reportable segments are described below.</w:t>
      </w:r>
      <w:r>
        <w:rPr>
          <w:color w:val="000000"/>
        </w:rPr>
        <w:t xml:space="preserve">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Includes the Partnership’s wholly owned midstream assets located in the Williston Basin and the DJ Basin.</w:t>
      </w:r>
      <w:r>
        <w:rPr>
          <w:color w:val="000000"/>
        </w:rPr>
        <w:t xml:space="preserve">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Partnership’s wholly owned midstream assets located in the Permian Basin and the equity method investment in Double E.</w:t>
      </w:r>
      <w:r>
        <w:rPr>
          <w:color w:val="000000"/>
        </w:rPr>
        <w:t xml:space="preserve">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Includes the Partnership’s wholly owned midstream assets located in the Utica and Marcellus shale plays and the equity method investment in Ohio Gathering that is focused on the Utica Shale.</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Partnership’s wholly owned midstream assets located in the Piceance Basin.</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Partnership’s wholly owned midstream assets located in the Barnett Shale.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a reportable segments for the purpose of evaluating their performance, including certain general and administrative expense items, certain natural gas and crude oil marketing services and transaction costs.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5619" w:type="dxa"/>
        <w:jc w:val="left"/>
        <w:tblInd w:w="0" w:type="dxa"/>
        <w:tblCellMar>
          <w:top w:w="28" w:type="dxa"/>
          <w:left w:w="28" w:type="dxa"/>
          <w:bottom w:w="28" w:type="dxa"/>
          <w:right w:w="28" w:type="dxa"/>
        </w:tblCellMar>
      </w:tblPr>
      <w:tblGrid>
        <w:gridCol w:w="957"/>
        <w:gridCol w:w="845"/>
        <w:gridCol w:w="853"/>
        <w:gridCol w:w="211"/>
        <w:gridCol w:w="976"/>
        <w:gridCol w:w="109"/>
        <w:gridCol w:w="109"/>
        <w:gridCol w:w="109"/>
        <w:gridCol w:w="109"/>
        <w:gridCol w:w="211"/>
        <w:gridCol w:w="976"/>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645,754 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Revenues by reportable segment follow.</w:t>
      </w:r>
    </w:p>
    <w:tbl>
      <w:tblPr>
        <w:tblW w:w="5573" w:type="dxa"/>
        <w:jc w:val="left"/>
        <w:tblInd w:w="0" w:type="dxa"/>
        <w:tblCellMar>
          <w:top w:w="28" w:type="dxa"/>
          <w:left w:w="28" w:type="dxa"/>
          <w:bottom w:w="28" w:type="dxa"/>
          <w:right w:w="28" w:type="dxa"/>
        </w:tblCellMar>
      </w:tblPr>
      <w:tblGrid>
        <w:gridCol w:w="1053"/>
        <w:gridCol w:w="925"/>
        <w:gridCol w:w="931"/>
        <w:gridCol w:w="211"/>
        <w:gridCol w:w="826"/>
        <w:gridCol w:w="109"/>
        <w:gridCol w:w="109"/>
        <w:gridCol w:w="109"/>
        <w:gridCol w:w="109"/>
        <w:gridCol w:w="211"/>
        <w:gridCol w:w="826"/>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0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145,087 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120,765 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Counterparties accounting for a significant portion of total revenues were as follows:</w:t>
      </w:r>
    </w:p>
    <w:tbl>
      <w:tblPr>
        <w:tblW w:w="4810" w:type="dxa"/>
        <w:jc w:val="left"/>
        <w:tblInd w:w="0" w:type="dxa"/>
        <w:tblCellMar>
          <w:top w:w="28" w:type="dxa"/>
          <w:left w:w="28" w:type="dxa"/>
          <w:bottom w:w="28" w:type="dxa"/>
          <w:right w:w="28" w:type="dxa"/>
        </w:tblCellMar>
      </w:tblPr>
      <w:tblGrid>
        <w:gridCol w:w="988"/>
        <w:gridCol w:w="868"/>
        <w:gridCol w:w="873"/>
        <w:gridCol w:w="180"/>
        <w:gridCol w:w="181"/>
        <w:gridCol w:w="403"/>
        <w:gridCol w:w="162"/>
        <w:gridCol w:w="162"/>
        <w:gridCol w:w="162"/>
        <w:gridCol w:w="180"/>
        <w:gridCol w:w="181"/>
        <w:gridCol w:w="470"/>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color w:val="000000"/>
                <w:sz w:val="20"/>
              </w:rPr>
              <w:t>Percentage of total revenues</w:t>
            </w:r>
            <w:r>
              <w:rPr>
                <w:rFonts w:ascii="Times New Roman;sans-serif" w:hAnsi="Times New Roman;sans-serif"/>
                <w:b/>
                <w:color w:val="000000"/>
                <w:sz w:val="13"/>
              </w:rPr>
              <w:t>(1)</w:t>
            </w:r>
            <w:r>
              <w:rPr>
                <w:rFonts w:ascii="Times New Roman;sans-serif" w:hAnsi="Times New Roman;sans-serif"/>
                <w:b/>
                <w:color w:val="000000"/>
                <w:sz w:val="20"/>
              </w:rPr>
              <w:t>:</w:t>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A - Piceance</w:t>
            </w:r>
          </w:p>
        </w:tc>
        <w:tc>
          <w:tcPr>
            <w:tcW w:w="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B - Northeast</w:t>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B - Permian</w:t>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Counterparty B - Barnett</w:t>
            </w:r>
          </w:p>
        </w:tc>
        <w:tc>
          <w:tcPr>
            <w:tcW w:w="76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Less than 10% in the aggregate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including the amortization expense associated with the Partnership’s favorable and unfavorable gas gathering contracts as reported in other revenues, by reportable segment follows.</w:t>
      </w:r>
    </w:p>
    <w:tbl>
      <w:tblPr>
        <w:tblW w:w="7298" w:type="dxa"/>
        <w:jc w:val="left"/>
        <w:tblInd w:w="0" w:type="dxa"/>
        <w:tblCellMar>
          <w:top w:w="28" w:type="dxa"/>
          <w:left w:w="28" w:type="dxa"/>
          <w:bottom w:w="28" w:type="dxa"/>
          <w:right w:w="28" w:type="dxa"/>
        </w:tblCellMar>
      </w:tblPr>
      <w:tblGrid>
        <w:gridCol w:w="1679"/>
        <w:gridCol w:w="1475"/>
        <w:gridCol w:w="1480"/>
        <w:gridCol w:w="211"/>
        <w:gridCol w:w="826"/>
        <w:gridCol w:w="109"/>
        <w:gridCol w:w="109"/>
        <w:gridCol w:w="109"/>
        <w:gridCol w:w="109"/>
        <w:gridCol w:w="211"/>
        <w:gridCol w:w="826"/>
        <w:gridCol w:w="154"/>
      </w:tblGrid>
      <w:tr>
        <w:trPr/>
        <w:tc>
          <w:tcPr>
            <w:tcW w:w="1679"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20"/>
              </w:rPr>
              <w:t>Barnett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depreciation and amortization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hanging="270"/>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amortization expense associated with the Partnership’s favorable and unfavorable gas gathering contracts as reported in Other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paid for capital expenditures by reportable segment follow.</w:t>
      </w:r>
    </w:p>
    <w:tbl>
      <w:tblPr>
        <w:tblW w:w="6293" w:type="dxa"/>
        <w:jc w:val="left"/>
        <w:tblInd w:w="0" w:type="dxa"/>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54"/>
      </w:tblGrid>
      <w:tr>
        <w:trPr/>
        <w:tc>
          <w:tcPr>
            <w:tcW w:w="139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capital expenditures:</w:t>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capital expenditures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Partnership assesses the performance of its reportable segments based on segment adjusted EBITDA. The Partnership defines segment adjusted EBITDA as total revenues less total costs and expenses; plus (i) other income excluding interest income, (ii) proportional adjusted EBITDA for equity method investees, (iii) depreciation and amortization, (iv) adjustments related to MVC shortfall payments, (v) adjustments related to capital reimbursement activity, (vi) unit-based and noncash compensation, (vii) impairments (vii) other noncash expenses or losses, less other noncash income or gains and (ix) restructuring expenses. Proportional adjusted EBITDA for the Partnership’s equity method investees is defined as the product of (i) total revenues less total expenses, excluding impairments and other noncash income or expense items, and amortization for deferred contract costs; and (ii) ownership interest in Ohio Gathering during the respective period.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evaluating segment performance, the Partnership excludes the effect of Corporate and Other revenues and expenses, such as certain general and administrative expenses (including compensation-related expenses and professional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services fees), certain natural gas and crude oil marketing services, transaction costs, interest expense and income tax expense or benefit from segment adjusted EBITDA.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6609" w:type="dxa"/>
        <w:jc w:val="left"/>
        <w:tblInd w:w="0" w:type="dxa"/>
        <w:tblCellMar>
          <w:top w:w="28" w:type="dxa"/>
          <w:left w:w="28" w:type="dxa"/>
          <w:bottom w:w="28" w:type="dxa"/>
          <w:right w:w="28" w:type="dxa"/>
        </w:tblCellMar>
      </w:tblPr>
      <w:tblGrid>
        <w:gridCol w:w="1428"/>
        <w:gridCol w:w="1255"/>
        <w:gridCol w:w="1262"/>
        <w:gridCol w:w="211"/>
        <w:gridCol w:w="826"/>
        <w:gridCol w:w="109"/>
        <w:gridCol w:w="109"/>
        <w:gridCol w:w="109"/>
        <w:gridCol w:w="109"/>
        <w:gridCol w:w="211"/>
        <w:gridCol w:w="82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or loss from equity method investees to total of reportable segments' measures of profit or loss follows.</w:t>
      </w:r>
    </w:p>
    <w:tbl>
      <w:tblPr>
        <w:tblW w:w="10205" w:type="dxa"/>
        <w:jc w:val="left"/>
        <w:tblInd w:w="0" w:type="dxa"/>
        <w:tblCellMar>
          <w:top w:w="28" w:type="dxa"/>
          <w:left w:w="28" w:type="dxa"/>
          <w:bottom w:w="28" w:type="dxa"/>
          <w:right w:w="28" w:type="dxa"/>
        </w:tblCellMar>
      </w:tblPr>
      <w:tblGrid>
        <w:gridCol w:w="2796"/>
        <w:gridCol w:w="2369"/>
        <w:gridCol w:w="2375"/>
        <w:gridCol w:w="211"/>
        <w:gridCol w:w="826"/>
        <w:gridCol w:w="109"/>
        <w:gridCol w:w="109"/>
        <w:gridCol w:w="109"/>
        <w:gridCol w:w="109"/>
        <w:gridCol w:w="211"/>
        <w:gridCol w:w="826"/>
        <w:gridCol w:w="155"/>
      </w:tblGrid>
      <w:tr>
        <w:trPr/>
        <w:tc>
          <w:tcPr>
            <w:tcW w:w="2796"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88" w:before="12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Reconciliation of income (loss) before income taxes and income (loss) from equity method investees to total of reportable segments' measures of profit:</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(loss) from equity method investees</w:t>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(28,156)</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177,661 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60,903 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78,894 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extinguishment of debt</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(203,062)</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(1)</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119,070 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equity method investees</w:t>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5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Unit-based and noncash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hanging="270"/>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the amortization expense associated with the Partnership’s favorable gas gathering contracts as reported in other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adjustments related to MVC shortfall payments recognize the earnings from MVC shortfall payments ratably over the term of the associated MVC.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Contributions in aid of construction are recognized over the remaining term of the respective contract. The Partnership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2"/>
        </w:rPr>
      </w:pPr>
      <w:r>
        <w:rPr>
          <w:rFonts w:ascii="Times New Roman;sans-serif" w:hAnsi="Times New Roman;sans-serif"/>
          <w:b/>
          <w:color w:val="000000"/>
          <w:sz w:val="22"/>
        </w:rPr>
        <w:t>19. SUBSEQUENT EVENTS</w:t>
      </w:r>
    </w:p>
    <w:p>
      <w:pPr>
        <w:pStyle w:val="TextBody"/>
        <w:spacing w:lineRule="auto" w:line="288" w:before="120" w:after="283"/>
        <w:rPr/>
      </w:pPr>
      <w:r>
        <w:rPr>
          <w:rFonts w:ascii="Times New Roman;sans-serif" w:hAnsi="Times New Roman;sans-serif"/>
          <w:b w:val="false"/>
          <w:i/>
          <w:color w:val="000000"/>
          <w:sz w:val="20"/>
        </w:rPr>
        <w:t>2022 Preferred Exchange Offer.</w:t>
      </w:r>
      <w:r>
        <w:rPr>
          <w:color w:val="000000"/>
        </w:rPr>
        <w:t xml:space="preserve"> </w:t>
      </w:r>
      <w:r>
        <w:rPr>
          <w:rFonts w:ascii="Times New Roman;sans-serif" w:hAnsi="Times New Roman;sans-serif"/>
          <w:b w:val="false"/>
          <w:color w:val="000000"/>
          <w:sz w:val="20"/>
        </w:rPr>
        <w:t>On January 12, 2022, the Partnership completed an offer to exchange its Series A Preferred Units and accepted for exchange 77,939 Series A Preferred Units for the issuance of 2,853,875 SMLP common units, net of units withheld for withholding taxes.</w:t>
      </w:r>
    </w:p>
    <w:p>
      <w:pPr>
        <w:pStyle w:val="TextBody"/>
        <w:spacing w:lineRule="auto" w:line="288" w:before="120" w:after="283"/>
        <w:rPr/>
      </w:pPr>
      <w:r>
        <w:rPr>
          <w:rFonts w:ascii="Times New Roman;sans-serif" w:hAnsi="Times New Roman;sans-serif"/>
          <w:b w:val="false"/>
          <w:i/>
          <w:color w:val="000000"/>
          <w:sz w:val="20"/>
        </w:rPr>
        <w:t>Permian Transmission Credit Facility conversion.</w:t>
      </w:r>
      <w:r>
        <w:rPr>
          <w:color w:val="000000"/>
        </w:rPr>
        <w:t xml:space="preserve"> </w:t>
      </w:r>
      <w:r>
        <w:rPr>
          <w:rFonts w:ascii="Times New Roman;sans-serif" w:hAnsi="Times New Roman;sans-serif"/>
          <w:b w:val="false"/>
          <w:color w:val="000000"/>
          <w:sz w:val="20"/>
        </w:rPr>
        <w:t xml:space="preserve">In January 2022, the Partnership converted its Permian Transmission Credit Facility into a $160.0 million term loan facility (the “Permian Term Loan Facility”) with an applicable margin of LIBOR borrowings of 2.375%. The Permian Term Loan Facility contains a sculpted 10-year amortization schedule with mandatory quarterly amortization payments due, commencing in the first quarter of 2022. </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or disagreements with, accountants on accounting and financial disclosure matters during the years ended December 31,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Commission’s rules and forms, and that information is accumulated and communicated to the management of our General Partner, including our General Partner’s principal executive and principal financial officers (whom we refer to as the Certifying Officers), as appropriate to allow timely decisions regarding required disclosure. SMLP’s management, with the participation of the Chief Executive Officer and Chief Financial Officer of SMLP's General Partner, has evaluated the effectiveness of SMLP’s disclosure controls and procedures (as such term is defined in Rules 13a-15(e) and 15d-15(e) under the Exchange Act) as of the end of the period covered by this annual report (the “Evaluation Date”). Based on such evaluation, the Chief Executive Officer and Chief Financial Officer of SMLP's General Partner have concluded that, as of the Evaluation Date, SMLP’s disclosure controls and procedures are effective.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SMLP’s internal control over financial reporting (as such term is defined in Rules 13a-15(f) and 15d-15(f) under the Exchange Act) during the fourth fiscal quarter of 2020 that have materially affected, or are reasonably likely to materially affect, SMLP's internal control over financial reporting.</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lineRule="auto" w:line="288" w:before="120" w:after="283"/>
        <w:rPr/>
      </w:pPr>
      <w:r>
        <w:rPr>
          <w:rFonts w:ascii="Times New Roman;sans-serif" w:hAnsi="Times New Roman;sans-serif"/>
          <w:b w:val="false"/>
          <w:color w:val="000000"/>
          <w:sz w:val="20"/>
        </w:rPr>
        <w:t>Our General Partner is responsible for establishing and maintaining adequate internal control over financial reporting for the Partnership. With our participation, an evaluation of the effectiveness of our internal control over financial reporting was conducted as of December 31, 2021, based on the framework and criteria established in </w:t>
      </w:r>
      <w:r>
        <w:rPr>
          <w:rFonts w:ascii="Times New Roman;sans-serif" w:hAnsi="Times New Roman;sans-serif"/>
          <w:b w:val="false"/>
          <w:i/>
          <w:color w:val="000000"/>
          <w:sz w:val="20"/>
        </w:rPr>
        <w:t>Internal Control - Integrated Framework (2013) </w:t>
      </w:r>
      <w:r>
        <w:rPr>
          <w:rFonts w:ascii="Times New Roman;sans-serif" w:hAnsi="Times New Roman;sans-serif"/>
          <w:b w:val="false"/>
          <w:color w:val="000000"/>
          <w:sz w:val="20"/>
        </w:rPr>
        <w:t>issued by the Committee of Sponsoring Organizations of the Treadway Commission. Based on this evaluation, management has concluded that our internal control over financial reporting was effective as of December 31, 2021. Our independent registered public accounting firm has issued an audit report on our internal control over financial reporting, included below this report.</w:t>
      </w:r>
    </w:p>
    <w:tbl>
      <w:tblPr>
        <w:tblW w:w="5547" w:type="dxa"/>
        <w:jc w:val="left"/>
        <w:tblInd w:w="0" w:type="dxa"/>
        <w:tblCellMar>
          <w:top w:w="28" w:type="dxa"/>
          <w:left w:w="28" w:type="dxa"/>
          <w:bottom w:w="28" w:type="dxa"/>
          <w:right w:w="28" w:type="dxa"/>
        </w:tblCellMar>
      </w:tblPr>
      <w:tblGrid>
        <w:gridCol w:w="1876"/>
        <w:gridCol w:w="1647"/>
        <w:gridCol w:w="1652"/>
        <w:gridCol w:w="109"/>
        <w:gridCol w:w="109"/>
        <w:gridCol w:w="154"/>
      </w:tblGrid>
      <w:tr>
        <w:trPr/>
        <w:tc>
          <w:tcPr>
            <w:tcW w:w="1876"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 HEATH DENEKE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Heath Deneke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Summit Midstream GP,</w:t>
              <w:br/>
              <w:t>LLC (the General Partner of SMLP)</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Summit </w:t>
              <w:br/>
              <w:t>Midstream GP, LLC (the General Partner of SMLP)</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the Board of Directors of Summit Midstream, GP, LLC and the unitholders of Summit Midstream Partners, LP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120" w:after="283"/>
        <w:rPr/>
      </w:pPr>
      <w:r>
        <w:rPr>
          <w:rFonts w:ascii="Times New Roman;sans-serif" w:hAnsi="Times New Roman;sans-serif"/>
          <w:b w:val="false"/>
          <w:color w:val="000000"/>
          <w:sz w:val="20"/>
        </w:rPr>
        <w:t xml:space="preserve">We have audited the internal control over financial reporting of Summit Midstream Partners, LP and subsidiaries (the “Partnership”)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2021, of the Partnership and our report dated February 28, 2022, expressed an unqualified opinion on those financial statements based on our audit.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88" w:before="120" w:after="283"/>
        <w:rPr/>
      </w:pPr>
      <w:r>
        <w:rPr>
          <w:rFonts w:ascii="Times New Roman;sans-serif" w:hAnsi="Times New Roman;sans-serif"/>
          <w:b w:val="false"/>
          <w:color w:val="000000"/>
          <w:sz w:val="20"/>
        </w:rPr>
        <w:t>The Partnership’s management is responsible for maintaining effective internal control over financial reporting and for its assessment of the effectiveness of internal control over financial reporting, included in the accompanying Management’s Annual Report</w:t>
      </w:r>
      <w:r>
        <w:rPr>
          <w:color w:val="000000"/>
        </w:rPr>
        <w:t xml:space="preserve"> </w:t>
      </w:r>
      <w:r>
        <w:rPr>
          <w:rFonts w:ascii="Times New Roman;sans-serif" w:hAnsi="Times New Roman;sans-serif"/>
          <w:b w:val="false"/>
          <w:color w:val="000000"/>
          <w:sz w:val="20"/>
        </w:rPr>
        <w:t>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generally accepted accounting principles,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February 23, 2022, the Compensation Committee approved a new form of award agreement under the SMLP LTIP pursuant to which it modified the vesting schedule from the previously filed form of award agreement.</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description of the new form of award agreement is qualified in its entirety by reference to the agreement, a copy of which is filed as Exhibit 10.54 to this Annual Report on Form 10-K for the fiscal year ended December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Partnership’s Proxy Statement for its 2022 Annual Meeting of Limited Partners, which will be filed with the SEC within 120 days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Partnership’s Proxy Statement for its 2022 Annual Meeting of Limited Partners, which will be filed with the SEC within 120 days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Partnership’s Proxy Statement for its 2022 Annual Meeting of Limited Partners, which will be filed with the SEC within 120 days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Partnership’s Proxy Statement for its 2022 Annual Meeting of Limited Partners, which will be filed with the SEC within 120 days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information is incorporated by reference to the Partnership's Proxy Statement for its 2022 Annual Meeting of Limited Partners, which will be filed with the SEC within 120 days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spacing w:lineRule="auto" w:line="288" w:before="120" w:after="283"/>
        <w:ind w:left="0" w:right="0" w:firstLine="855"/>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footnotes are included in Part II, Item 8, of this report.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spacing w:lineRule="auto" w:line="288" w:before="120" w:after="283"/>
        <w:ind w:left="0" w:right="0" w:firstLine="855"/>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 required information is inapplicable or the information is presented in the financial statements or the notes thereto.</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(3) Exhibit Index</w:t>
      </w:r>
    </w:p>
    <w:p>
      <w:pPr>
        <w:pStyle w:val="TextBody"/>
        <w:spacing w:lineRule="auto" w:line="288" w:before="120" w:after="283"/>
        <w:ind w:left="0" w:right="0" w:firstLine="855"/>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accompanying Exhibit Index are filed as part of, or incorporated by reference into, this Annual Report.</w:t>
      </w:r>
    </w:p>
    <w:tbl>
      <w:tblPr>
        <w:tblW w:w="10205" w:type="dxa"/>
        <w:jc w:val="left"/>
        <w:tblInd w:w="0" w:type="dxa"/>
        <w:tblCellMar>
          <w:top w:w="28" w:type="dxa"/>
          <w:left w:w="28" w:type="dxa"/>
          <w:bottom w:w="28" w:type="dxa"/>
          <w:right w:w="28" w:type="dxa"/>
        </w:tblCellMar>
      </w:tblPr>
      <w:tblGrid>
        <w:gridCol w:w="283"/>
        <w:gridCol w:w="248"/>
        <w:gridCol w:w="250"/>
        <w:gridCol w:w="109"/>
        <w:gridCol w:w="109"/>
        <w:gridCol w:w="109"/>
        <w:gridCol w:w="2653"/>
        <w:gridCol w:w="2653"/>
        <w:gridCol w:w="3791"/>
      </w:tblGrid>
      <w:tr>
        <w:trPr/>
        <w:tc>
          <w:tcPr>
            <w:tcW w:w="2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3" w:type="dxa"/>
            <w:tcBorders/>
            <w:shd w:fill="auto" w:val="clear"/>
            <w:vAlign w:val="center"/>
          </w:tcPr>
          <w:p>
            <w:pPr>
              <w:pStyle w:val="TableContents"/>
              <w:spacing w:before="0" w:after="283"/>
              <w:rPr>
                <w:sz w:val="4"/>
                <w:szCs w:val="4"/>
              </w:rPr>
            </w:pPr>
            <w:r>
              <w:rPr>
                <w:sz w:val="4"/>
                <w:szCs w:val="4"/>
              </w:rPr>
            </w:r>
          </w:p>
        </w:tc>
        <w:tc>
          <w:tcPr>
            <w:tcW w:w="2653" w:type="dxa"/>
            <w:tcBorders/>
            <w:shd w:fill="auto" w:val="clear"/>
            <w:vAlign w:val="center"/>
          </w:tcPr>
          <w:p>
            <w:pPr>
              <w:pStyle w:val="TableContents"/>
              <w:spacing w:before="0" w:after="283"/>
              <w:rPr>
                <w:sz w:val="4"/>
                <w:szCs w:val="4"/>
              </w:rPr>
            </w:pPr>
            <w:r>
              <w:rPr>
                <w:sz w:val="4"/>
                <w:szCs w:val="4"/>
              </w:rPr>
            </w:r>
          </w:p>
        </w:tc>
        <w:tc>
          <w:tcPr>
            <w:tcW w:w="3791"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2"/>
                  <w:u w:val="single"/>
                </w:rPr>
                <w:t>Purchase Agreement, dated May 3, 2020, by and among Energy Capital Partners II, LP, Energy Capital Partners II-A, LP, Energy Capital Partners II-C (SMLP IP), LP, Energy Capital Partners II-C (Summit IP), LP, Energy Capital Partners II (Summit Co-Invest), LP and Summit Midstream Management, LLC, as contributors, SMP TopCo, LLC and SMLP Holdings, LLC, as sellers, Summit Midstream Partners, LP, as the acquiror, and, solely for certain purposes set forth therein, Summit Midstream Partners GP, LLC (Incorporated herein by reference to Exhibit 2.1 to SMLP's Current Report on Form 8-K dated May 5, 2020 (Commission File No. 001-35666))</w:t>
              </w:r>
            </w:hyperlink>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2"/>
                  <w:u w:val="single"/>
                </w:rPr>
                <w:t>Fourth Amended and Restated Agreement of Limited Partnership of Summit Midstream Partners, LP, dated May 28, 2020 (Incorporated herein by reference to Exhibit 3.1 to SMLP’s Current Report on Form 8-K dated June 2, 2020 (Commission File No. 001-35666))</w:t>
              </w:r>
            </w:hyperlink>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Times New Roman;sans-serif" w:hAnsi="Times New Roman;sans-serif"/>
                  <w:b w:val="false"/>
                  <w:color w:val="0000FF"/>
                  <w:sz w:val="22"/>
                  <w:u w:val="single"/>
                </w:rPr>
                <w:t>Second Amended and Restated Limited Liability Company Agreement of Summit Midstream GP, LLC, dated May 28, 2020 (Incorporated herein by reference to Exhibit 3.2 to SMLP's Current Report on Form 8-K filed June 2, 2020 (Commission File No. 001-35666))</w:t>
              </w:r>
            </w:hyperlink>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22"/>
                  <w:u w:val="single"/>
                </w:rPr>
                <w:t>Certificate of Limited Partnership of Summit Midstream Partners, LP (Incorporated herein by reference to Exhibit 3.1 to SMLP's Form S-1 Registration Statement dated August 21, 2012 (Commission File No. 333-183466))</w:t>
              </w:r>
            </w:hyperlink>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22"/>
                  <w:u w:val="single"/>
                </w:rPr>
                <w:t>Certificate of Formation of Summit Midstream GP, LLC (Incorporated herein by reference to Exhibit 3.4 to SMLP's Form S-1 Registration Statement dated August 21, 2012 (Commission File No. 333-183466))</w:t>
              </w:r>
            </w:hyperlink>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FF"/>
                  <w:sz w:val="24"/>
                  <w:u w:val="single"/>
                </w:rPr>
                <w:t>Description of Common Units (Incorporated herein by reference to Exhibit 4.1 to SMLP’s Form 10-K/A dated April 26, 2021 (Commission File No. 333-183466))</w:t>
              </w:r>
            </w:hyperlink>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Times New Roman;sans-serif" w:hAnsi="Times New Roman;sans-serif"/>
                  <w:b w:val="false"/>
                  <w:color w:val="0000FF"/>
                  <w:sz w:val="22"/>
                  <w:u w:val="single"/>
                </w:rPr>
                <w:t>Investor Rights Agreement, dated as of October 3, 2012, by and among EFS-S, LLC, Summit Midstream GP, LLC and Summit Midstream Partners, LLC (Incorporated herein by reference to Exhibit 4.1 to SMLP's Current Report on Form 8-K dated October 4, 2012 (Commission File No. 001-35666))</w:t>
              </w:r>
            </w:hyperlink>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Times New Roman;sans-serif" w:hAnsi="Times New Roman;sans-serif"/>
                  <w:b w:val="false"/>
                  <w:color w:val="0000FF"/>
                  <w:sz w:val="22"/>
                  <w:u w:val="single"/>
                </w:rPr>
                <w:t>Strict Foreclosure Agreement, dated November 17, 2020, by and among Summit Midstream Partners Holdings, LLC, Summit Midstream Partners, LLC and Credit Suisse AG, Cayman Islands Branch (Incorporated herein by reference to Exhibit 10.1 to SMLP’s Current Report on Form 8-K dated November 17, 2020 (Commission File No. 001-35666))</w:t>
              </w:r>
            </w:hyperlink>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Fonts w:ascii="Times New Roman;sans-serif" w:hAnsi="Times New Roman;sans-serif"/>
                  <w:b w:val="false"/>
                  <w:color w:val="0000FF"/>
                  <w:sz w:val="22"/>
                  <w:u w:val="single"/>
                </w:rPr>
                <w:t>General Assignment and Bill of Sale, dated November 17, 2020, by Summit Midstream Partners Holdings, LLC and Summit Midstream Partners, LLC (Incorporated herein by reference to Exhibit 10.2 to SMLP’s Current Report on Form 8-K dated November 17, 2020 (Commission File No. 001-35666))</w:t>
              </w:r>
            </w:hyperlink>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2">
              <w:r>
                <w:rPr>
                  <w:rStyle w:val="InternetLink"/>
                  <w:rFonts w:ascii="Times New Roman;sans-serif" w:hAnsi="Times New Roman;sans-serif"/>
                  <w:b w:val="false"/>
                  <w:color w:val="0000FF"/>
                  <w:sz w:val="22"/>
                  <w:u w:val="single"/>
                </w:rPr>
                <w:t>Mutual Release Agreement, dated November 17, 2020, by and among Summit Midstream Partners Holdings, LLC, Summit Midstream Partners, LLC, the lenders party thereto, and Credit Suisse AG, Cayman Islands Branch (Incorporated herein by reference to Exhibit 10.3 to SMLP’s Current Report on Form 8-K dated November 17, 2020 (Commission File No. 001-35666)).</w:t>
              </w:r>
            </w:hyperlink>
          </w:p>
        </w:tc>
      </w:tr>
    </w:tbl>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211"/>
        <w:gridCol w:w="186"/>
        <w:gridCol w:w="189"/>
        <w:gridCol w:w="109"/>
        <w:gridCol w:w="109"/>
        <w:gridCol w:w="109"/>
        <w:gridCol w:w="2757"/>
        <w:gridCol w:w="2707"/>
        <w:gridCol w:w="3828"/>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2707" w:type="dxa"/>
            <w:tcBorders/>
            <w:shd w:fill="auto" w:val="clear"/>
            <w:vAlign w:val="center"/>
          </w:tcPr>
          <w:p>
            <w:pPr>
              <w:pStyle w:val="TableContents"/>
              <w:spacing w:before="0" w:after="283"/>
              <w:rPr>
                <w:sz w:val="4"/>
                <w:szCs w:val="4"/>
              </w:rPr>
            </w:pPr>
            <w:r>
              <w:rPr>
                <w:sz w:val="4"/>
                <w:szCs w:val="4"/>
              </w:rPr>
            </w:r>
          </w:p>
        </w:tc>
        <w:tc>
          <w:tcPr>
            <w:tcW w:w="3828"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Times New Roman;sans-serif" w:hAnsi="Times New Roman;sans-serif"/>
                  <w:b w:val="false"/>
                  <w:color w:val="0000FF"/>
                  <w:sz w:val="22"/>
                  <w:u w:val="single"/>
                </w:rPr>
                <w:t>Term Loan Credit Agreement, dated May 28, 2020, by and among Summit Midstream Holdings, LLC, as borrower, SMP TopCo, LLC, as lender and administrative agent and Mizuho Bank (USA), as collateral agent (Incorporated herein by reference to Exhibit 10.1 to SMLP’s Current Report on Form 8-K dated June 2,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22"/>
                  <w:u w:val="single"/>
                </w:rPr>
                <w:t>Term Loan Credit Agreement, dated May 28, 2020, by and among Summit Midstream Holdings, LLC, as borrower, SMLP Holdings, LLC, as lender, SMP TopCo, LLC, as administrative agent and Mizuho Bank (USA), as collateral agent (Incorporated herein by reference to Exhibit 10.2 to SMLP’s Current Report on Form 8-K dated June 2,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22"/>
                  <w:u w:val="single"/>
                </w:rPr>
                <w:t>Guarantee and Collateral Agreement, dated May 28, 2020, by and among Summit Midstream Holdings, LLC, Summit Midstream Partners, LP, the subsidiaries listed therein and Mizuho Bank (USA), as collateral agent, relating to the ECP NewCo Term Loan Credit Agreement (Incorporated herein by reference to Exhibit 10.3 to SMLP’s Current Report on Form 8-K dated June 2,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Times New Roman;sans-serif" w:hAnsi="Times New Roman;sans-serif"/>
                  <w:b w:val="false"/>
                  <w:color w:val="0000FF"/>
                  <w:sz w:val="22"/>
                  <w:u w:val="single"/>
                </w:rPr>
                <w:t>Guarantee and Collateral Agreement, dated May 28, 2020, by and among Summit Midstream Holdings, LLC, Summit Midstream Partners, LP, the subsidiaries listed therein and Mizuho Bank (USA), as collateral agent, relating to the ECP Holdings Term Loan Credit Agreement (Incorporated herein by reference to Exhibit 10.4 to SMLP’s Current Report on Form 8-K dated June 2,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22"/>
                  <w:u w:val="single"/>
                </w:rPr>
                <w:t>Pari Passu Intercreditor Agreement, dated as of May 28, 2020, among Wells Fargo Bank, National Association, as Revolving Credit Facility Collateral Agent, Mizuho Bank (USA), as NewCo Term Loan Collateral Agent and SMLP Holdings Term Loan Collateral Agent, Summit Midstream Holdings, LLC and other grantors from time to time party thereto (Incorporated herein by reference to Exhibit 10.5 to SMLP’s Current Report on Form 8-K dated June 2,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2"/>
                  <w:u w:val="single"/>
                </w:rPr>
                <w:t>Warrant to Purchase Common Units, dated May 28, 2020, from Summit Midstream Partners, LP to SMP TopCo, LLC (Incorporated herein by reference to Exhibit 10.6 to SMLP’s Current Report on Form 8-K dated June 2,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22"/>
                  <w:u w:val="single"/>
                </w:rPr>
                <w:t>Warrant to Purchase Common Units, dated May 28, 2020, from Summit Midstream Partners, LP to SMLP Holdings, LLC (Incorporated herein by reference to Exhibit 10.7 to SMLP’s Current Report on Form 8-K dated June 2,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2"/>
                  <w:u w:val="single"/>
                </w:rPr>
                <w:t>Operation and Management Services Agreement, dated May 28, 2020, by and among Summit Midstream Partners, LP and Summit Operating Services Company, LLC (Incorporated herein by reference to Exhibit 10.8 to SMLP’s Current Report on Form 8-K dated June 2,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22"/>
                  <w:u w:val="single"/>
                </w:rPr>
                <w:t>Term Loan Agreement, dated as of March 21, 2017, among Summit Midstream Partners Holdings, LLC, as borrower, the lenders party thereto and Credit Suisse AG, Cayman Islands Branch, as Administrative Agent and Collateral Agent (Incorporated herein by reference to Exhibit 10.9 to SMLP’s Current Report on Form 8-K dated June 2,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Times New Roman;sans-serif" w:hAnsi="Times New Roman;sans-serif"/>
                  <w:b w:val="false"/>
                  <w:color w:val="0000FF"/>
                  <w:sz w:val="22"/>
                  <w:u w:val="single"/>
                </w:rPr>
                <w:t>Guarantee and Collateral Agreement, dated as of March 21, 2017, by and among Summit Midstream Partners Holdings, LLC, as grantor, Summit Midstream Partners, LLC, as pledgor and grantor and Credit Suisse AG, Cayman Islands Branch, as collateral agent (Incorporated herein by reference to Exhibit 10.10 to SMLP’s Current Report on Form 8-K dated June 2,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Times New Roman;sans-serif" w:hAnsi="Times New Roman;sans-serif"/>
                  <w:b w:val="false"/>
                  <w:color w:val="0000FF"/>
                  <w:sz w:val="22"/>
                  <w:u w:val="single"/>
                </w:rPr>
                <w:t>Amendment to Warrants to Purchase Common Units, dated August 7, 2020, by and among Summit Midstream Partners, LP, SMP TopCo, LLC and SMLP Holdings, LLC (Incorporated herein by reference to Exhibit 10.11 to SMLP’s Quarterly Report on Form 10-Q for the period ended September 30, 2020 (Commission File No. 001-35666))</w:t>
              </w:r>
            </w:hyperlink>
          </w:p>
        </w:tc>
      </w:tr>
    </w:tbl>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212"/>
        <w:gridCol w:w="186"/>
        <w:gridCol w:w="188"/>
        <w:gridCol w:w="109"/>
        <w:gridCol w:w="109"/>
        <w:gridCol w:w="109"/>
        <w:gridCol w:w="2780"/>
        <w:gridCol w:w="2691"/>
        <w:gridCol w:w="3821"/>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Times New Roman;sans-serif" w:hAnsi="Times New Roman;sans-serif"/>
                  <w:b w:val="false"/>
                  <w:color w:val="0000FF"/>
                  <w:sz w:val="22"/>
                  <w:u w:val="single"/>
                </w:rPr>
                <w:t>Transaction Support Agreement, dated September 29, 2020, by and among Summit Midstream Partners Holdings, LLC, Summit Midstream Partners, LLC, Summit Midstream Partners, LP and the Initial Directing Lenders listed therein (Incorporated herein by reference to Exhibit 10.1 to SMLP’s Current Report on Form 8-K dated September 30, 2020 (Commission File No. 001-34666))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Times New Roman;sans-serif" w:hAnsi="Times New Roman;sans-serif"/>
                  <w:b w:val="false"/>
                  <w:color w:val="0000FF"/>
                  <w:sz w:val="22"/>
                  <w:u w:val="single"/>
                </w:rPr>
                <w:t>Purchase Agreement, dated as of June 12, 2013, by and among Summit Midstream Holdings, LLC, Summit Midstream Finance Corp., Summit Midstream GP, LLC, the Guarantors named therein and the Initial Purchasers named therein (Incorporated herein by reference to Exhibit 1.1 to SMLP's Current Report on Form 8-K dated June 17, 2013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Times New Roman;sans-serif" w:hAnsi="Times New Roman;sans-serif"/>
                  <w:b w:val="false"/>
                  <w:color w:val="0000FF"/>
                  <w:sz w:val="22"/>
                  <w:u w:val="single"/>
                </w:rPr>
                <w:t>Purchase and Sale Agreement between Meadowlark Midstream Company, LLC, Tioga Midstream, LLC and Hess North Dakota Pipelines LLC dated as of February 22, 2019 (Incorporated herein by reference to Exhibit 10.1 to SMLP's Current Report on Form 8-K dated February 26, 2019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Times New Roman;sans-serif" w:hAnsi="Times New Roman;sans-serif"/>
                  <w:b w:val="false"/>
                  <w:color w:val="0000FF"/>
                  <w:sz w:val="22"/>
                  <w:u w:val="single"/>
                </w:rPr>
                <w:t>Purchase and Sale Agreement between Meadowlark Midstream Company, LLC, Tioga Midstream, LLC and Hess Infrastructure Partners LP dated as of February 22, 2019 (Incorporated herein by reference to Exhibit 10.2 to SMLP's Current Report on Form 8-K dated February 26, 2019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Times New Roman;sans-serif" w:hAnsi="Times New Roman;sans-serif"/>
                  <w:b w:val="false"/>
                  <w:color w:val="0000FF"/>
                  <w:sz w:val="22"/>
                  <w:u w:val="single"/>
                </w:rPr>
                <w:t>Indenture, dated as of June 17, 2013, by and among Summit Midstream Holdings, LLC, Summit Midstream Finance Corp., the Guarantors party thereto and U.S. Bank National Association (including form of the 7½% senior notes due 2021) (Incorporated herein by reference to Exhibit 4.1 to SMLP's Current Report on Form 8-K dated June 17, 2013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Times New Roman;sans-serif" w:hAnsi="Times New Roman;sans-serif"/>
                  <w:b w:val="false"/>
                  <w:color w:val="0000FF"/>
                  <w:sz w:val="22"/>
                  <w:u w:val="single"/>
                </w:rPr>
                <w:t>Registration Rights Agreement, dated as of June 17, 2013, by and among Summit Midstream Holdings, LLC, Summit Midstream Finance Corp., the Guarantors named therein and the Initial Purchasers named therein (Incorporated herein by reference to Exhibit 4.2 to SMLP's Current Report on Form 8-K dated June 17, 2013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Times New Roman;sans-serif" w:hAnsi="Times New Roman;sans-serif"/>
                  <w:b w:val="false"/>
                  <w:color w:val="0000FF"/>
                  <w:sz w:val="22"/>
                  <w:u w:val="single"/>
                </w:rPr>
                <w:t>Joinder Agreement, dated as of June 4, 2013, by and among Summit Midstream Holdings, LLC, The Royal Bank of Scotland plc, as Administrative Agent, and the lenders party thereto (Incorporated herein by reference to Exhibit 10.2 to SMLP's Current Report on Form 8-K dated June 5, 2013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Times New Roman;sans-serif" w:hAnsi="Times New Roman;sans-serif"/>
                  <w:b w:val="false"/>
                  <w:color w:val="0000FF"/>
                  <w:sz w:val="22"/>
                  <w:u w:val="single"/>
                </w:rPr>
                <w:t>Third Amended and Restated Credit Agreement dated as of May 26, 2017 (Incorporated herein by reference to Exhibit 10.1 to SMLP's Current Report on Form 8-K dated May 30, 2017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Times New Roman;sans-serif" w:hAnsi="Times New Roman;sans-serif"/>
                  <w:b w:val="false"/>
                  <w:color w:val="0000FF"/>
                  <w:sz w:val="22"/>
                  <w:u w:val="single"/>
                </w:rPr>
                <w:t>First Amendment to the Third Amended and Restated Credit Agreement dated as of September 22, 2017 (Incorporated herein by reference to Exhibit 10.7 to SMLP’s Annual Report on Form 10-K for the fiscal year ended December 31, 2017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3">
              <w:r>
                <w:rPr>
                  <w:rStyle w:val="InternetLink"/>
                </w:rPr>
                <w:t>Second Amendment to Third Amended and Restated Credit Agreement dated as of June 26, 2019 (Incorporated herein by reference to Exhibit 10.2 to SMLP's Quarterly Report on Form 10-Q dated August 9, 2019 (Commission File No. 001-3566</w:t>
              </w:r>
            </w:hyperlink>
            <w:r>
              <w:rPr>
                <w:rFonts w:ascii="Times New Roman;sans-serif" w:hAnsi="Times New Roman;sans-serif"/>
                <w:b w:val="false"/>
                <w:color w:val="0000FF"/>
                <w:sz w:val="22"/>
                <w:u w:val="single"/>
              </w:rPr>
              <w:t>6))</w:t>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4">
              <w:r>
                <w:rPr>
                  <w:rStyle w:val="InternetLink"/>
                  <w:rFonts w:ascii="Times New Roman;sans-serif" w:hAnsi="Times New Roman;sans-serif"/>
                  <w:b w:val="false"/>
                  <w:color w:val="0000FF"/>
                  <w:sz w:val="22"/>
                  <w:u w:val="single"/>
                </w:rPr>
                <w:t>Third Amendment to Third Amended and Restated Credit Agreement and Second Amendment to Second Amended and Restated Guarantee and Collateral Agreement dated as of December 24, 2019 (Incorporated by reference to Exhibit 10.11 to SMLP’s Annual Report on Form 10-K for the fiscal year ended December 31, 2019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5">
              <w:r>
                <w:rPr>
                  <w:rStyle w:val="InternetLink"/>
                </w:rPr>
                <w:t xml:space="preserve">Fourth Amendment to Third Amended and Restated Credit Agreement and Third Amendment to Second Amended and Restated Guarantee and Collateral Agreement, dated as of December 18, 2020, by and among Summit Midstream Holdings, LLC, each of the other Loan Parties party thereto, Wells Fargo Bank, National Association, as administrative and collateral agent and the Lenders party thereto (Incorporated herein by reference to Exhibit 10.1 to SMLP’s </w:t>
              </w:r>
            </w:hyperlink>
            <w:hyperlink r:id="rId36">
              <w:r>
                <w:rPr>
                  <w:rStyle w:val="InternetLink"/>
                </w:rPr>
                <w:t>Current. Report</w:t>
              </w:r>
            </w:hyperlink>
            <w:hyperlink r:id="rId37">
              <w:r>
                <w:rPr>
                  <w:rStyle w:val="InternetLink"/>
                </w:rPr>
                <w:t xml:space="preserve"> on Form 8-K dated December 18, 2020 (Commission File No. 01-35666))</w:t>
              </w:r>
            </w:hyperlink>
          </w:p>
        </w:tc>
      </w:tr>
    </w:tbl>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212"/>
        <w:gridCol w:w="186"/>
        <w:gridCol w:w="188"/>
        <w:gridCol w:w="109"/>
        <w:gridCol w:w="109"/>
        <w:gridCol w:w="109"/>
        <w:gridCol w:w="2743"/>
        <w:gridCol w:w="2706"/>
        <w:gridCol w:w="3843"/>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3843"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8">
              <w:r>
                <w:rPr>
                  <w:rStyle w:val="InternetLink"/>
                  <w:rFonts w:ascii="Times New Roman;sans-serif" w:hAnsi="Times New Roman;sans-serif"/>
                  <w:b w:val="false"/>
                  <w:color w:val="0000FF"/>
                  <w:sz w:val="22"/>
                  <w:u w:val="single"/>
                </w:rPr>
                <w:t>Amended and Restated Limited Liability Company Agreement of Summit Permian Transmission Holdco, LLC, dated as of December 24, 2019 (Incorporated by reference to Exhibit 10.12 to SMLP’s Annual Report on Form 10-K for the fiscal year ended December 31, 2019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9">
              <w:r>
                <w:rPr>
                  <w:rStyle w:val="InternetLink"/>
                  <w:rFonts w:ascii="Times New Roman;sans-serif" w:hAnsi="Times New Roman;sans-serif"/>
                  <w:b w:val="false"/>
                  <w:color w:val="0000FF"/>
                  <w:sz w:val="22"/>
                  <w:u w:val="single"/>
                </w:rPr>
                <w:t>Amended and Restated Guarantee and Collateral Agreement dated as of November 1, 2013 (Incorporated herein by reference to Exhibit 10.7 to SMLP's 2013 Annual Report on Form 10-K for the fiscal year ended December 31, 2013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0">
              <w:r>
                <w:rPr>
                  <w:rStyle w:val="InternetLink"/>
                  <w:rFonts w:ascii="Times New Roman;sans-serif" w:hAnsi="Times New Roman;sans-serif"/>
                  <w:b w:val="false"/>
                  <w:color w:val="0000FF"/>
                  <w:sz w:val="22"/>
                  <w:u w:val="single"/>
                </w:rPr>
                <w:t>Base Indenture, dated as of July 15, 2014, by and among Summit Midstream Holdings, LLC, Summit Midstream Finance Corp. and U.S. Bank National Association (Incorporated herein by reference to Exhibit 4.1 to SMLP's Current Report on Form 8-K dated July 9, 2014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1">
              <w:r>
                <w:rPr>
                  <w:rStyle w:val="InternetLink"/>
                  <w:rFonts w:ascii="Times New Roman;sans-serif" w:hAnsi="Times New Roman;sans-serif"/>
                  <w:b w:val="false"/>
                  <w:color w:val="0000FF"/>
                  <w:sz w:val="22"/>
                  <w:u w:val="single"/>
                </w:rPr>
                <w:t>First Supplemental Indenture, dated as of July 15, 2014, by and among Summit Midstream Holdings, LLC, Summit Midstream Finance Corp., the Guarantors party thereto and U.S. Bank National Association (including form of the 5½% senior notes due 2022) (Incorporated herein by reference to Exhibit 4.2 to SMLP's Current Report on Form 8-K dated July 9, 2014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2">
              <w:r>
                <w:rPr>
                  <w:rStyle w:val="InternetLink"/>
                  <w:rFonts w:ascii="Times New Roman;sans-serif" w:hAnsi="Times New Roman;sans-serif"/>
                  <w:b w:val="false"/>
                  <w:color w:val="0000FF"/>
                  <w:sz w:val="22"/>
                  <w:u w:val="single"/>
                </w:rPr>
                <w:t>Second Supplemental Indenture, dated as of February 15, 2017, by and among Summit Midstream Holdings, LLC, Summit Midstream Finance Corp., the Guarantors party thereto and U.S. Bank National Association (including form of the 5.75% senior notes due 2025) (Incorporated herein by reference to Exhibit 4.2 to SMLP’s Current Report on Form 8-K dated February 17, 2017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3">
              <w:r>
                <w:rPr>
                  <w:rStyle w:val="InternetLink"/>
                  <w:rFonts w:ascii="Times New Roman;sans-serif" w:hAnsi="Times New Roman;sans-serif"/>
                  <w:b w:val="false"/>
                  <w:color w:val="0000FF"/>
                  <w:sz w:val="22"/>
                  <w:u w:val="single"/>
                </w:rPr>
                <w:t>Equity Distribution Agreement, dated June 12, 2015, among the Partnership, the General Partner, the Operating Company, Citigroup Global Markets Inc., Deutsche Bank Securities Inc. and RBC Capital Markets, LLC. (Incorporated herein by reference to Exhibit 1.1 to SMLP's Current Report on Form 8-K dated June 12, 2015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4">
              <w:r>
                <w:rPr>
                  <w:rStyle w:val="InternetLink"/>
                  <w:rFonts w:ascii="Times New Roman;sans-serif" w:hAnsi="Times New Roman;sans-serif"/>
                  <w:b w:val="false"/>
                  <w:color w:val="0000FF"/>
                  <w:sz w:val="22"/>
                  <w:u w:val="single"/>
                </w:rPr>
                <w:t>Contribution Agreement between Summit Midstream Partners Holdings, LLC and Summit Midstream Partners, LP dated as of February 25, 2016 (Incorporated herein by reference to Exhibit 10.1 to SMLP's Form 8-K filed March 1, 2016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5">
              <w:r>
                <w:rPr>
                  <w:rStyle w:val="InternetLink"/>
                  <w:rFonts w:ascii="Times New Roman;sans-serif" w:hAnsi="Times New Roman;sans-serif"/>
                  <w:b w:val="false"/>
                  <w:color w:val="0000FF"/>
                  <w:sz w:val="22"/>
                  <w:u w:val="single"/>
                </w:rPr>
                <w:t>Amendment to Contribution Agreement between Summit Midstream Partners Holdings, LLC and Summit Midstream Partners, LP dated February 25, 2019 (Incorporated herein by reference to Exhibit 10.3 to SMLP's Current Report on Form 8-K dated February 26, 2019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6">
              <w:r>
                <w:rPr>
                  <w:rStyle w:val="InternetLink"/>
                  <w:rFonts w:ascii="Times New Roman;sans-serif" w:hAnsi="Times New Roman;sans-serif"/>
                  <w:b w:val="false"/>
                  <w:color w:val="0000FF"/>
                  <w:sz w:val="22"/>
                  <w:u w:val="single"/>
                </w:rPr>
                <w:t>Amendment No. 2 to Contribution Agreement between Summit Midstream Partners Holdings, LLC and Summit Midstream Partners, LP dated November 7, 2019 (Incorporated herein by reference to Exhibit 10.1 to SMLP's Current Report on Form 8-K dated November 8, 2019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7">
              <w:r>
                <w:rPr>
                  <w:rStyle w:val="InternetLink"/>
                  <w:rFonts w:ascii="Times New Roman;sans-serif" w:hAnsi="Times New Roman;sans-serif"/>
                  <w:b w:val="false"/>
                  <w:color w:val="0000FF"/>
                  <w:sz w:val="22"/>
                  <w:u w:val="single"/>
                </w:rPr>
                <w:t>Amendment No. 3 to Contribution Agreement, dated November 17, 2020, by and between Summit Midstream Partners Holdings, LLC and Summit Midstream Partners, LP (Incorporated herein by reference to Exhibit 10.4 to SMLP’s Current Report on Form 8-K dated November 17,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48">
              <w:r>
                <w:rPr>
                  <w:rStyle w:val="InternetLink"/>
                  <w:rFonts w:ascii="Times New Roman;sans-serif" w:hAnsi="Times New Roman;sans-serif"/>
                  <w:b w:val="false"/>
                  <w:color w:val="0000FF"/>
                  <w:sz w:val="22"/>
                  <w:u w:val="single"/>
                </w:rPr>
                <w:t>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 (Incorporated herein by reference to Exhibit 10.1 to SMLP’s Quarterly Report on Form 10-Q dated May 7, 2021 (Commission File No. 333-183466))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Fonts w:ascii="Times New Roman;sans-serif" w:hAnsi="Times New Roman;sans-serif"/>
                  <w:b w:val="false"/>
                  <w:color w:val="0000FF"/>
                  <w:sz w:val="22"/>
                  <w:u w:val="single"/>
                </w:rPr>
                <w:t>Joint Factual Statement (Incorporated herein by reference to Exhibit 10.1 to SMLP’s Quarterly Report on Form 10-Q for the three months ended June 30, 2021 dated August 9, 2021 (Commission File No. 333-183466))</w:t>
              </w:r>
            </w:hyperlink>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212"/>
        <w:gridCol w:w="186"/>
        <w:gridCol w:w="188"/>
        <w:gridCol w:w="109"/>
        <w:gridCol w:w="109"/>
        <w:gridCol w:w="109"/>
        <w:gridCol w:w="2781"/>
        <w:gridCol w:w="2690"/>
        <w:gridCol w:w="3821"/>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50">
              <w:r>
                <w:rPr>
                  <w:rStyle w:val="InternetLink"/>
                  <w:rFonts w:ascii="Times New Roman;sans-serif" w:hAnsi="Times New Roman;sans-serif"/>
                  <w:b w:val="false"/>
                  <w:color w:val="0000FF"/>
                  <w:sz w:val="22"/>
                  <w:u w:val="single"/>
                </w:rPr>
                <w:t>Criminal Plea Agreement (Incorporated herein by reference to Exhibit 10.2 to SMLP’s Quarterly Report on Form 10-Q for the three months ended June 30, 2021 dated August 9, 2021 (Commission File No. 333-183466))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51">
              <w:r>
                <w:rPr>
                  <w:rStyle w:val="InternetLink"/>
                  <w:rFonts w:ascii="Times New Roman;sans-serif" w:hAnsi="Times New Roman;sans-serif"/>
                  <w:b w:val="false"/>
                  <w:color w:val="0000FF"/>
                  <w:sz w:val="22"/>
                  <w:u w:val="single"/>
                </w:rPr>
                <w:t>Consent Decree (Incorporated herein by reference to Exhibit 10.3 to SMLP’s Quarterly Report on Form 10-Q for the three months ended June 30, 2021 dated August 9, 2021 (Commission File No. 333-183466))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52">
              <w:r>
                <w:rPr>
                  <w:rStyle w:val="InternetLink"/>
                  <w:rFonts w:ascii="Times New Roman;sans-serif" w:hAnsi="Times New Roman;sans-serif"/>
                  <w:b w:val="false"/>
                  <w:color w:val="0000FF"/>
                  <w:sz w:val="22"/>
                  <w:u w:val="single"/>
                </w:rPr>
                <w:t>Indenture, dated as of November 2, 2021, by and among Summit Midstream Holdings, LLC, Summit Midstream Finance Corp., the Guarantors party thereto and Regions Bank, as trustee (including form of the 8.500% Senior Secured Second Lien Notes due 2026) (Incorporated herein by reference to Exhibit 4.1 to SMLP's Quarterly Report on Form 10-Q dated November 4, 2021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53">
              <w:r>
                <w:rPr>
                  <w:rStyle w:val="InternetLink"/>
                  <w:rFonts w:ascii="Times New Roman;sans-serif" w:hAnsi="Times New Roman;sans-serif"/>
                  <w:b w:val="false"/>
                  <w:color w:val="0000FF"/>
                  <w:sz w:val="22"/>
                  <w:u w:val="single"/>
                </w:rPr>
                <w:t>Collateral Agreement, dated as of November 2, 2021, by and among Summit Midstream Partners, LP, as a pledgor, Summit Midstream Holdings, LLC and Summit Midstream Finance Corp., as pledgors and grantors, the Subsidiary Guarantors party therein, and Regions Bank, as collateral agent (Incorporated herein by reference to Exhibit 10.4 to SMLP’s Quarterly Report on Form 10-Q for the three months ended September 30, 2021 dated November 4, 2021 (Commission File No. 333-183466))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54">
              <w:r>
                <w:rPr>
                  <w:rStyle w:val="InternetLink"/>
                </w:rPr>
                <w:t>Loan and Security Agreement, dated as November 2, 2021, among Summit Midstream Holdings, as borrower, Summit Midstream Partners, LP and certain subsidiaries from time to time party thereto, as guarantors, Bank of America, N.A., as agent, ING Capital LLC, Royal Bank of Canada and Regions Bank, as co-syndication agents, joint lead arrangers and joint bookrunners (Incorporated herein by reference to Exhibit 10.</w:t>
              </w:r>
            </w:hyperlink>
            <w:hyperlink r:id="rId55">
              <w:r>
                <w:rPr>
                  <w:rStyle w:val="InternetLink"/>
                </w:rPr>
                <w:t>5</w:t>
              </w:r>
            </w:hyperlink>
            <w:hyperlink r:id="rId56">
              <w:r>
                <w:rPr>
                  <w:rStyle w:val="InternetLink"/>
                </w:rPr>
                <w:t xml:space="preserve"> to SMLP’s Quarterly Report on Form 10-Q for the three months ended September 30, 2021 dated November 4, 2021 (Commission File No. 333-183466))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57">
              <w:r>
                <w:rPr>
                  <w:rStyle w:val="InternetLink"/>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Midstream Holdings, LLC and the other grantors referred to therein (Incorporated herein by reference to Exhibit 10.</w:t>
              </w:r>
            </w:hyperlink>
            <w:hyperlink r:id="rId58">
              <w:r>
                <w:rPr>
                  <w:rStyle w:val="InternetLink"/>
                </w:rPr>
                <w:t>6</w:t>
              </w:r>
            </w:hyperlink>
            <w:hyperlink r:id="rId59">
              <w:r>
                <w:rPr>
                  <w:rStyle w:val="InternetLink"/>
                </w:rPr>
                <w:t xml:space="preserve"> to SMLP’s Quarterly Report on Form 10-Q for the three months ended September 30, 2021 dated November 4, 2021 (Commission File No. 333-183466))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60">
              <w:r>
                <w:rPr>
                  <w:rStyle w:val="InternetLink"/>
                  <w:rFonts w:ascii="Times New Roman;sans-serif" w:hAnsi="Times New Roman;sans-serif"/>
                  <w:b w:val="false"/>
                  <w:color w:val="0000FF"/>
                  <w:sz w:val="22"/>
                  <w:u w:val="single"/>
                </w:rPr>
                <w:t>Equity Restructuring Agreement by and among Summit Midstream Partners, LP, Summit Midstream GP, LLC and Summit Midstream Partners Holdings, LLC dated as of February 25, 2019 (Incorporated herein by reference to Exhibit 10.4 to SMLP's Current Report on Form 8-K dated February 26, 2019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1">
              <w:r>
                <w:rPr>
                  <w:rStyle w:val="InternetLink"/>
                </w:rPr>
                <w:t xml:space="preserve">Amended and Restated Employment Agreement, effective September 1, 2020, by and between Summit Midstream Partners, LLC and Marc D. </w:t>
              </w:r>
            </w:hyperlink>
            <w:hyperlink r:id="rId62">
              <w:r>
                <w:rPr>
                  <w:rStyle w:val="InternetLink"/>
                </w:rPr>
                <w:t>Stratton</w:t>
              </w:r>
            </w:hyperlink>
            <w:hyperlink r:id="rId63">
              <w:r>
                <w:rPr>
                  <w:rStyle w:val="InternetLink"/>
                </w:rPr>
                <w:t xml:space="preserve"> </w:t>
              </w:r>
            </w:hyperlink>
            <w:hyperlink r:id="rId64">
              <w:r>
                <w:rPr>
                  <w:rStyle w:val="InternetLink"/>
                </w:rPr>
                <w:t>(Incorporated herein by reference to Exhibit 10.41 to SMLP’s Annual Report on Form 10-K for the fiscal year ended December 31, 2020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65">
              <w:r>
                <w:rPr>
                  <w:rStyle w:val="InternetLink"/>
                  <w:rFonts w:ascii="Times New Roman;sans-serif" w:hAnsi="Times New Roman;sans-serif"/>
                  <w:b w:val="false"/>
                  <w:color w:val="0000FF"/>
                  <w:sz w:val="22"/>
                  <w:u w:val="single"/>
                </w:rPr>
                <w:t>Form of Retention Bonus Agreement (Incorporated herein by reference to Exhibit 10.1 to SMLP’s Current Report on Form 8-K dated June 11, 2019 (Commission File Number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6">
              <w:r>
                <w:rPr>
                  <w:rStyle w:val="InternetLink"/>
                  <w:rFonts w:ascii="Times New Roman;sans-serif" w:hAnsi="Times New Roman;sans-serif"/>
                  <w:b w:val="false"/>
                  <w:color w:val="0000FF"/>
                  <w:sz w:val="22"/>
                  <w:u w:val="single"/>
                </w:rPr>
                <w:t>Employment Agreement effective September 16, 2019, by and between Summit Midstream Partners, LLC and Heath Deneke (Incorporated herein by reference to Exhibit 10.1 to SMLP’s Current Report on Form 8-K dated August 9, 2019 (Commission File Number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67">
              <w:r>
                <w:rPr>
                  <w:rStyle w:val="InternetLink"/>
                  <w:rFonts w:ascii="Times New Roman;sans-serif" w:hAnsi="Times New Roman;sans-serif"/>
                  <w:b w:val="false"/>
                  <w:color w:val="0000FF"/>
                  <w:sz w:val="22"/>
                  <w:u w:val="single"/>
                </w:rPr>
                <w:t>Employment Agreement, effective as of September 4, 2020, by and between Summit Midstream Partners, LP and James Johnston (Incorporated herein by reference to Exhibit 10.4 to SMLP’s Form 10-Q dated November 6, 2020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68">
              <w:r>
                <w:rPr>
                  <w:rStyle w:val="InternetLink"/>
                  <w:rFonts w:ascii="Times New Roman;sans-serif" w:hAnsi="Times New Roman;sans-serif"/>
                  <w:b w:val="false"/>
                  <w:color w:val="0000FF"/>
                  <w:sz w:val="22"/>
                  <w:u w:val="single"/>
                </w:rPr>
                <w:t>Summit Midstream Partners, LP 2012 Long-Term Incentive Plan, as amended and restated (incorporated herein by reference to Exhibit 10.1 to SMLP’s Current Report on Form 8-K dated March 20, 2020 (Commission File No. 001-35666))</w:t>
              </w:r>
            </w:hyperlink>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tbl>
      <w:tblPr>
        <w:tblW w:w="10205" w:type="dxa"/>
        <w:jc w:val="left"/>
        <w:tblInd w:w="0" w:type="dxa"/>
        <w:tblCellMar>
          <w:top w:w="28" w:type="dxa"/>
          <w:left w:w="28" w:type="dxa"/>
          <w:bottom w:w="28" w:type="dxa"/>
          <w:right w:w="28" w:type="dxa"/>
        </w:tblCellMar>
      </w:tblPr>
      <w:tblGrid>
        <w:gridCol w:w="241"/>
        <w:gridCol w:w="211"/>
        <w:gridCol w:w="214"/>
        <w:gridCol w:w="117"/>
        <w:gridCol w:w="117"/>
        <w:gridCol w:w="117"/>
        <w:gridCol w:w="2723"/>
        <w:gridCol w:w="2669"/>
        <w:gridCol w:w="3796"/>
      </w:tblGrid>
      <w:tr>
        <w:trPr/>
        <w:tc>
          <w:tcPr>
            <w:tcW w:w="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723"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3796" w:type="dxa"/>
            <w:tcBorders/>
            <w:shd w:fill="auto" w:val="clear"/>
            <w:vAlign w:val="center"/>
          </w:tcPr>
          <w:p>
            <w:pPr>
              <w:pStyle w:val="TableContents"/>
              <w:spacing w:before="0" w:after="283"/>
              <w:rPr>
                <w:sz w:val="4"/>
                <w:szCs w:val="4"/>
              </w:rPr>
            </w:pPr>
            <w:r>
              <w:rPr>
                <w:sz w:val="4"/>
                <w:szCs w:val="4"/>
              </w:rPr>
            </w:r>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69">
              <w:r>
                <w:rPr>
                  <w:rStyle w:val="InternetLink"/>
                  <w:rFonts w:ascii="Times New Roman;sans-serif" w:hAnsi="Times New Roman;sans-serif"/>
                  <w:b w:val="false"/>
                  <w:color w:val="0000FF"/>
                  <w:sz w:val="22"/>
                  <w:u w:val="single"/>
                </w:rPr>
                <w:t>Summit Midstream Partners, LP 2012 Long-Term Incentive Plan Phantom Unit Agreement (Incorporated herein by reference to Exhibit 10.1 to SMLP's Current Report on Form 8-K filed March 17, 2014 (Commission File No. 001-35666))</w:t>
              </w:r>
            </w:hyperlink>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70">
              <w:r>
                <w:rPr>
                  <w:rStyle w:val="InternetLink"/>
                  <w:rFonts w:ascii="Times New Roman;sans-serif" w:hAnsi="Times New Roman;sans-serif"/>
                  <w:b w:val="false"/>
                  <w:color w:val="0000FF"/>
                  <w:sz w:val="22"/>
                  <w:u w:val="single"/>
                </w:rPr>
                <w:t>Form of Director Unit Award Agreement (Incorporated herein by reference to Exhibit 10.3 to SMLP's Current Report on Form 8-K filed October 4, 2012 (Commission File No. 001-35666))</w:t>
              </w:r>
            </w:hyperlink>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71">
              <w:r>
                <w:rPr>
                  <w:rStyle w:val="InternetLink"/>
                  <w:rFonts w:ascii="Times New Roman;sans-serif" w:hAnsi="Times New Roman;sans-serif"/>
                  <w:b w:val="false"/>
                  <w:color w:val="0000FF"/>
                  <w:sz w:val="22"/>
                  <w:u w:val="single"/>
                </w:rPr>
                <w:t>Summit Midstream Partners, LLC Deferred Compensation Plan effective as of July 1, 2013 (Incorporated herein by reference to Exhibit 4.3 to SMLP's Form S-8 Registration Statement dated June 28, 2013 (Commission File No. 333-189684))</w:t>
              </w:r>
            </w:hyperlink>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formofltipagreementforempl.htm">
              <w:r>
                <w:rPr>
                  <w:rStyle w:val="InternetLink"/>
                  <w:rFonts w:ascii="Times New Roman;sans-serif" w:hAnsi="Times New Roman;sans-serif"/>
                  <w:b w:val="false"/>
                  <w:color w:val="0000FF"/>
                  <w:sz w:val="22"/>
                  <w:u w:val="single"/>
                </w:rPr>
                <w:t>Form of Director Unit Award Agreement (2022)</w:t>
              </w:r>
            </w:hyperlink>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72">
              <w:r>
                <w:rPr>
                  <w:rStyle w:val="InternetLink"/>
                  <w:rFonts w:ascii="Times New Roman;sans-serif" w:hAnsi="Times New Roman;sans-serif"/>
                  <w:b w:val="false"/>
                  <w:color w:val="0000FF"/>
                  <w:sz w:val="22"/>
                  <w:u w:val="single"/>
                </w:rPr>
                <w:t>List of Subsidiaries (Incorporated herein by reference to Exhibit 21.1 to SMLP’s Form 8-K filed August 10, 2020 (Commission File No. 001-35666))</w:t>
              </w:r>
            </w:hyperlink>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73">
              <w:r>
                <w:rPr>
                  <w:rStyle w:val="InternetLink"/>
                  <w:rFonts w:ascii="Times New Roman;sans-serif" w:hAnsi="Times New Roman;sans-serif"/>
                  <w:b w:val="false"/>
                  <w:color w:val="0000FF"/>
                  <w:sz w:val="22"/>
                  <w:u w:val="single"/>
                </w:rPr>
                <w:t>Summit Midstream Partners, LP Subsidiary Issuers and Guarantors of Registered Securities (Incorporated herein by reference to Exhibit 22.1 to SMLP's Report on Form 10-Q filed May 8, 2020 (Commission File No. 001-35666)).</w:t>
              </w:r>
            </w:hyperlink>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smlpconsent2021.htm">
              <w:r>
                <w:rPr>
                  <w:rStyle w:val="InternetLink"/>
                  <w:rFonts w:ascii="Times New Roman;sans-serif" w:hAnsi="Times New Roman;sans-serif"/>
                  <w:b w:val="false"/>
                  <w:color w:val="0000FF"/>
                  <w:sz w:val="22"/>
                  <w:u w:val="single"/>
                </w:rPr>
                <w:t>Consent of Deloitte &amp; Touche LLP</w:t>
              </w:r>
            </w:hyperlink>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smlp-20201231x10kexx311.htm">
              <w:r>
                <w:rPr>
                  <w:rStyle w:val="InternetLink"/>
                  <w:rFonts w:ascii="Times New Roman;sans-serif" w:hAnsi="Times New Roman;sans-serif"/>
                  <w:b w:val="false"/>
                  <w:color w:val="0000FF"/>
                  <w:sz w:val="22"/>
                  <w:u w:val="single"/>
                </w:rPr>
                <w:t>Rule 13a-14(a)/15d-14(a) Certification, executed by Heath Deneke, President, Chief Executive Officer and Director</w:t>
              </w:r>
            </w:hyperlink>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smlp-20201231x10kexx312.htm">
              <w:r>
                <w:rPr>
                  <w:rStyle w:val="InternetLink"/>
                  <w:rFonts w:ascii="Times New Roman;sans-serif" w:hAnsi="Times New Roman;sans-serif"/>
                  <w:b w:val="false"/>
                  <w:color w:val="0000FF"/>
                  <w:sz w:val="22"/>
                  <w:u w:val="single"/>
                </w:rPr>
                <w:t>Rule 13a-14(a)/15d-14(a) Certification, executed by William J. Mault, Executive Vice President and Chief Financial Officer</w:t>
              </w:r>
            </w:hyperlink>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smlp-20201231x10kexx321.htm">
              <w:r>
                <w:rPr>
                  <w:rStyle w:val="InternetLink"/>
                  <w:rFonts w:ascii="Times New Roman;sans-serif" w:hAnsi="Times New Roman;sans-serif"/>
                  <w:b w:val="false"/>
                  <w:color w:val="0000FF"/>
                  <w:sz w:val="22"/>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XBRL Instance Document – the instance document does not appear in the Interactive Data File because its XBRL tags are embedded within the Inline XBRL document</w:t>
            </w:r>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w:t>
            </w:r>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w:t>
            </w:r>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w:t>
            </w:r>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w:t>
            </w:r>
          </w:p>
        </w:tc>
      </w:tr>
      <w:tr>
        <w:trPr/>
        <w:tc>
          <w:tcPr>
            <w:tcW w:w="6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5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w:t>
            </w:r>
          </w:p>
        </w:tc>
      </w:tr>
      <w:tr>
        <w:trPr/>
        <w:tc>
          <w:tcPr>
            <w:tcW w:w="6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(embedded within the Inline XBRL document).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 required to be filed as an exhibit pursuant to Item 15(b) of this report</w:t>
      </w:r>
    </w:p>
    <w:p>
      <w:pPr>
        <w:pStyle w:val="TextBody"/>
        <w:spacing w:lineRule="auto" w:line="288" w:before="120" w:after="283"/>
        <w:rPr>
          <w:color w:val="000000"/>
        </w:rPr>
      </w:pPr>
      <w:r>
        <w:rPr>
          <w:color w:val="000000"/>
        </w:rPr>
        <w:t xml:space="preserve">† </w:t>
      </w:r>
      <w:r>
        <w:rPr>
          <w:rFonts w:ascii="Times New Roman;sans-serif" w:hAnsi="Times New Roman;sans-serif"/>
          <w:b w:val="false"/>
          <w:color w:val="000000"/>
          <w:sz w:val="20"/>
        </w:rPr>
        <w:t>Certain portions have been omitted pursuant to a confidential treatment request. Omitted information has been filed separately with the SEC.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0"/>
        <w:rPr/>
      </w:pPr>
      <w:hyperlink w:anchor="i95b69f4d4d284ad19c2d2487f9376198_7">
        <w:r>
          <w:rPr>
            <w:rStyle w:val="InternetLink"/>
          </w:rPr>
          <w:t xml:space="preserve">Table of </w:t>
        </w:r>
      </w:hyperlink>
      <w:hyperlink w:anchor="i95b69f4d4d284ad19c2d2487f9376198_7">
        <w:r>
          <w:rPr>
            <w:rStyle w:val="InternetLink"/>
          </w:rPr>
          <w:t>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809" w:type="dxa"/>
        <w:jc w:val="left"/>
        <w:tblInd w:w="0" w:type="dxa"/>
        <w:tblCellMar>
          <w:top w:w="28" w:type="dxa"/>
          <w:left w:w="28" w:type="dxa"/>
          <w:bottom w:w="28" w:type="dxa"/>
          <w:right w:w="28" w:type="dxa"/>
        </w:tblCellMar>
      </w:tblPr>
      <w:tblGrid>
        <w:gridCol w:w="580"/>
        <w:gridCol w:w="511"/>
        <w:gridCol w:w="513"/>
        <w:gridCol w:w="2402"/>
        <w:gridCol w:w="2402"/>
        <w:gridCol w:w="3401"/>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Summit Midstream GP, LLC (its General Partner)</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82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28" w:type="dxa"/>
          <w:left w:w="28" w:type="dxa"/>
          <w:bottom w:w="28" w:type="dxa"/>
          <w:right w:w="28" w:type="dxa"/>
        </w:tblCellMar>
      </w:tblPr>
      <w:tblGrid>
        <w:gridCol w:w="1084"/>
        <w:gridCol w:w="935"/>
        <w:gridCol w:w="813"/>
        <w:gridCol w:w="109"/>
        <w:gridCol w:w="109"/>
        <w:gridCol w:w="109"/>
        <w:gridCol w:w="109"/>
        <w:gridCol w:w="109"/>
        <w:gridCol w:w="109"/>
        <w:gridCol w:w="1686"/>
        <w:gridCol w:w="1644"/>
        <w:gridCol w:w="1665"/>
        <w:gridCol w:w="109"/>
        <w:gridCol w:w="109"/>
        <w:gridCol w:w="109"/>
        <w:gridCol w:w="408"/>
        <w:gridCol w:w="408"/>
        <w:gridCol w:w="581"/>
      </w:tblGrid>
      <w:tr>
        <w:trPr/>
        <w:tc>
          <w:tcPr>
            <w:tcW w:w="108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 HEATH DENEKE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 (Principal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 Heath Deneke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MATTHEW B. SICINSKI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B. Sicinski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JAMES J. CLEARY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J. Cleary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LEE JACOBE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Lee Jacobe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ROBERT J. MCNALLY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J. McNally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JERRY L. PETERS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Jerry L. Peters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MARGUERITE WOUNG-CHAPMAN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Marguerite Woung-Chapman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10.54</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before="0" w:after="0"/>
        <w:jc w:val="right"/>
        <w:rPr/>
      </w:pPr>
      <w:r>
        <w:rPr/>
      </w:r>
    </w:p>
    <w:p>
      <w:pPr>
        <w:pStyle w:val="TextBody"/>
        <w:spacing w:lineRule="auto" w:line="240" w:before="0" w:after="0"/>
        <w:jc w:val="right"/>
        <w:rPr/>
      </w:pPr>
      <w:r>
        <w:rPr>
          <w:rFonts w:ascii="Times New Roman;sans-serif" w:hAnsi="Times New Roman;sans-serif"/>
          <w:b/>
          <w:color w:val="000000"/>
          <w:sz w:val="20"/>
        </w:rPr>
        <w:t>February 24, 2022</w:t>
      </w:r>
      <w:r>
        <w:rPr>
          <w:color w:val="000000"/>
        </w:rPr>
        <w:t xml:space="preserve">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SUMMIT MIDSTREAM PARTNERS, LP</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2012 LONG-TERM INCENTIVE PLAN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 LTIP GRANT AWARD AGREEMENT</w:t>
      </w:r>
    </w:p>
    <w:p>
      <w:pPr>
        <w:pStyle w:val="TextBody"/>
        <w:spacing w:before="0" w:after="24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Pursuant to this ____ LTIP Grant Award Agreement, dated as of ____________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the Summit Midstream Partners, LP 2012 Long-Term Incentive Plan, as amended and restated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Summit Midstream GP, LLC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as the general partner of Summit Midstream Partners, LP (the “</w:t>
      </w:r>
      <w:r>
        <w:rPr>
          <w:rFonts w:ascii="Times New Roman;sans-serif" w:hAnsi="Times New Roman;sans-serif"/>
          <w:b/>
          <w:color w:val="000000"/>
          <w:sz w:val="24"/>
        </w:rPr>
        <w:t>Partnership</w:t>
      </w:r>
      <w:r>
        <w:rPr>
          <w:color w:val="000000"/>
        </w:rPr>
        <w:t>”</w:t>
      </w:r>
      <w:r>
        <w:rPr>
          <w:rFonts w:ascii="Times New Roman;sans-serif" w:hAnsi="Times New Roman;sans-serif"/>
          <w:b w:val="false"/>
          <w:color w:val="000000"/>
          <w:sz w:val="24"/>
        </w:rPr>
        <w:t>), hereby grants to [_______________] (the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the following Other Unit-Based Award within the meaning of the Plan (the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consisting, in part, of Phantom Units (the “</w:t>
      </w:r>
      <w:r>
        <w:rPr>
          <w:rFonts w:ascii="Times New Roman;sans-serif" w:hAnsi="Times New Roman;sans-serif"/>
          <w:b/>
          <w:color w:val="000000"/>
          <w:sz w:val="24"/>
        </w:rPr>
        <w:t>Phantom Units</w:t>
      </w:r>
      <w:r>
        <w:rPr>
          <w:color w:val="000000"/>
        </w:rPr>
        <w:t>”</w:t>
      </w:r>
      <w:r>
        <w:rPr>
          <w:rFonts w:ascii="Times New Roman;sans-serif" w:hAnsi="Times New Roman;sans-serif"/>
          <w:b w:val="false"/>
          <w:color w:val="000000"/>
          <w:sz w:val="24"/>
        </w:rPr>
        <w:t>), and, in part, of a dollar-denominated cash amount (the “</w:t>
      </w:r>
      <w:r>
        <w:rPr>
          <w:rFonts w:ascii="Times New Roman;sans-serif" w:hAnsi="Times New Roman;sans-serif"/>
          <w:b/>
          <w:color w:val="000000"/>
          <w:sz w:val="24"/>
        </w:rPr>
        <w:t>Retention Component</w:t>
      </w:r>
      <w:r>
        <w:rPr>
          <w:color w:val="000000"/>
        </w:rPr>
        <w:t>”</w:t>
      </w:r>
      <w:r>
        <w:rPr>
          <w:rFonts w:ascii="Times New Roman;sans-serif" w:hAnsi="Times New Roman;sans-serif"/>
          <w:b w:val="false"/>
          <w:color w:val="000000"/>
          <w:sz w:val="24"/>
        </w:rPr>
        <w:t>). In the event of any conflict between the terms of this Agreement and the Plan (the terms and conditions of which are hereby incorporated into this Agreement by reference), the terms of the Plan shall control. Except as otherwise expressly provided herein, all capitalized terms used in this Agreement, but not defined, shall have the meanings provided in the Plan.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effectiveness of the Award requires your acceptance by executing and returning the signature page hereto within five days of the Grant Date and the Award may be revoked if not so accepted.</w:t>
      </w:r>
    </w:p>
    <w:p>
      <w:pPr>
        <w:pStyle w:val="TextBody"/>
        <w:spacing w:before="0" w:after="0"/>
        <w:ind w:left="0" w:right="0" w:firstLine="72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GRANT NOTICE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and conditions of this Agreement, the principal features of the Award are as follows: </w:t>
      </w:r>
    </w:p>
    <w:p>
      <w:pPr>
        <w:pStyle w:val="TextBody"/>
        <w:spacing w:lineRule="auto" w:line="276" w:before="240" w:after="283"/>
        <w:jc w:val="both"/>
        <w:rPr/>
      </w:pPr>
      <w:r>
        <w:rPr>
          <w:rFonts w:ascii="Times New Roman;sans-serif" w:hAnsi="Times New Roman;sans-serif"/>
          <w:b/>
          <w:color w:val="000000"/>
          <w:sz w:val="24"/>
        </w:rPr>
        <w:t>Number of Phantom Units</w:t>
      </w:r>
      <w:r>
        <w:rPr>
          <w:rFonts w:ascii="Times New Roman;sans-serif" w:hAnsi="Times New Roman;sans-serif"/>
          <w:b w:val="false"/>
          <w:color w:val="000000"/>
          <w:sz w:val="24"/>
        </w:rPr>
        <w:t xml:space="preserve">: [___________] Phantom Units, each of which is hereby granted in tandem with a corresponding DER, as further detailed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below. </w:t>
      </w:r>
    </w:p>
    <w:p>
      <w:pPr>
        <w:pStyle w:val="TextBody"/>
        <w:spacing w:lineRule="auto" w:line="276" w:before="240" w:after="283"/>
        <w:ind w:left="0" w:right="0" w:hanging="1710"/>
        <w:jc w:val="both"/>
        <w:rPr/>
      </w:pPr>
      <w:r>
        <w:rPr>
          <w:rFonts w:ascii="Times New Roman;sans-serif" w:hAnsi="Times New Roman;sans-serif"/>
          <w:b/>
          <w:color w:val="000000"/>
          <w:sz w:val="24"/>
        </w:rPr>
        <w:t>Dollar-Denominated Retention Component Amount</w:t>
      </w:r>
      <w:r>
        <w:rPr>
          <w:rFonts w:ascii="Times New Roman;sans-serif" w:hAnsi="Times New Roman;sans-serif"/>
          <w:b w:val="false"/>
          <w:color w:val="000000"/>
          <w:sz w:val="24"/>
        </w:rPr>
        <w:t>: $[___________]</w:t>
      </w:r>
    </w:p>
    <w:p>
      <w:pPr>
        <w:pStyle w:val="TextBody"/>
        <w:spacing w:lineRule="auto" w:line="276" w:before="240" w:after="240"/>
        <w:ind w:left="0" w:right="0" w:hanging="1710"/>
        <w:jc w:val="both"/>
        <w:rPr/>
      </w:pPr>
      <w:r>
        <w:rPr>
          <w:rFonts w:ascii="Times New Roman;sans-serif" w:hAnsi="Times New Roman;sans-serif"/>
          <w:b/>
          <w:color w:val="000000"/>
          <w:sz w:val="24"/>
        </w:rPr>
        <w:t>Grant Date</w:t>
      </w:r>
      <w:r>
        <w:rPr>
          <w:rFonts w:ascii="Times New Roman;sans-serif" w:hAnsi="Times New Roman;sans-serif"/>
          <w:b w:val="false"/>
          <w:color w:val="000000"/>
          <w:sz w:val="24"/>
        </w:rPr>
        <w:t>: ___________</w:t>
      </w:r>
    </w:p>
    <w:p>
      <w:pPr>
        <w:pStyle w:val="TextBody"/>
        <w:spacing w:lineRule="auto" w:line="276" w:before="240" w:after="240"/>
        <w:ind w:left="0" w:right="0" w:hanging="1710"/>
        <w:jc w:val="both"/>
        <w:rPr/>
      </w:pPr>
      <w:r>
        <w:rPr>
          <w:rFonts w:ascii="Times New Roman;sans-serif" w:hAnsi="Times New Roman;sans-serif"/>
          <w:b/>
          <w:color w:val="000000"/>
          <w:sz w:val="24"/>
        </w:rPr>
        <w:t>Reference Date</w:t>
      </w:r>
      <w:r>
        <w:rPr>
          <w:rFonts w:ascii="Times New Roman;sans-serif" w:hAnsi="Times New Roman;sans-serif"/>
          <w:b w:val="false"/>
          <w:color w:val="000000"/>
          <w:sz w:val="24"/>
        </w:rPr>
        <w:t xml:space="preserve">: _____________ </w:t>
      </w:r>
    </w:p>
    <w:p>
      <w:pPr>
        <w:pStyle w:val="TextBody"/>
        <w:spacing w:lineRule="auto" w:line="240" w:before="0" w:after="0"/>
        <w:jc w:val="both"/>
        <w:rPr/>
      </w:pPr>
      <w:r>
        <w:rPr>
          <w:rFonts w:ascii="Times New Roman;sans-serif" w:hAnsi="Times New Roman;sans-serif"/>
          <w:b/>
          <w:color w:val="000000"/>
          <w:sz w:val="24"/>
        </w:rPr>
        <w:t>Vesting of the Award</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The Phantom Units (rounded down to the nearest whole number of units, except in the case of the final vesting date) shall vest on each of the following anniversaries of the Reference Date described above, subject to the Participant’s continued Service as an Employee through the applicable vesting date, as follows: _____________________________________.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The Retention Component (rounded down to the nearest whole cent (1¢), except in the case of the final vesting date) shall vest on each of the following anniversaries of the Reference Date described above, subject to the Participant’s continued Service as an Employee through the applicable vesting date., as follows: ____________________________________. </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In addition, the Phantom Units and the Retention Component shall be subject to accelerated vesting as set forth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below.</w:t>
      </w:r>
    </w:p>
    <w:p>
      <w:pPr>
        <w:pStyle w:val="TextBody"/>
        <w:spacing w:lineRule="auto" w:line="276" w:before="240" w:after="240"/>
        <w:jc w:val="both"/>
        <w:rPr/>
      </w:pPr>
      <w:r>
        <w:rPr>
          <w:rFonts w:ascii="Times New Roman;sans-serif" w:hAnsi="Times New Roman;sans-serif"/>
          <w:b/>
          <w:color w:val="000000"/>
          <w:sz w:val="24"/>
        </w:rPr>
        <w:t>Termination of the Award</w:t>
      </w:r>
      <w:r>
        <w:rPr>
          <w:rFonts w:ascii="Times New Roman;sans-serif" w:hAnsi="Times New Roman;sans-serif"/>
          <w:b w:val="false"/>
          <w:color w:val="000000"/>
          <w:sz w:val="24"/>
        </w:rPr>
        <w:t xml:space="preserve">: Except as otherwise described in the Plan or this Agreement, in the event of a termination of the Participant’s Service for any reason, all Phantom Units and any portions of the Retention Component that have not vested prior to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in connection with such termination of Service shall thereupon automatically be forfeited by the Participant without further action and without payment of consideration therefor. </w:t>
      </w:r>
    </w:p>
    <w:p>
      <w:pPr>
        <w:pStyle w:val="TextBody"/>
        <w:spacing w:lineRule="auto" w:line="240" w:before="240" w:after="240"/>
        <w:jc w:val="both"/>
        <w:rPr/>
      </w:pPr>
      <w:r>
        <w:rPr>
          <w:rFonts w:ascii="Times New Roman;sans-serif" w:hAnsi="Times New Roman;sans-serif"/>
          <w:b/>
          <w:color w:val="000000"/>
          <w:sz w:val="24"/>
        </w:rPr>
        <w:t>Payment of the Award</w:t>
      </w:r>
      <w:r>
        <w:rPr>
          <w:rFonts w:ascii="Times New Roman;sans-serif" w:hAnsi="Times New Roman;sans-serif"/>
          <w:b w:val="false"/>
          <w:color w:val="000000"/>
          <w:sz w:val="24"/>
        </w:rPr>
        <w:t xml:space="preserve">: </w:t>
      </w:r>
    </w:p>
    <w:p>
      <w:pPr>
        <w:pStyle w:val="TextBody"/>
        <w:spacing w:lineRule="auto" w:line="240" w:before="240" w:after="283"/>
        <w:ind w:left="0" w:right="0" w:hanging="360"/>
        <w:jc w:val="both"/>
        <w:rPr/>
      </w:pPr>
      <w:r>
        <w:rPr>
          <w:color w:val="000000"/>
        </w:rPr>
        <w:t>•</w:t>
      </w:r>
      <w:r>
        <w:rPr>
          <w:rFonts w:ascii="Times New Roman;sans-serif" w:hAnsi="Times New Roman;sans-serif"/>
          <w:b w:val="false"/>
          <w:color w:val="000000"/>
          <w:sz w:val="24"/>
        </w:rPr>
        <w:t xml:space="preserve">Vested Phantom Units shall be paid to the Participant in the form of Units and/or cash as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4"/>
        </w:rPr>
        <w:t xml:space="preserve">Vested Retention Component amounts shall be paid to the Participant in the form of cash as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before="0" w:after="0"/>
        <w:jc w:val="both"/>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9" name="Frame1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 OF THE ____ LTIP GRANT</w:t>
      </w:r>
    </w:p>
    <w:p>
      <w:pPr>
        <w:pStyle w:val="TextBody"/>
        <w:spacing w:before="0" w:after="0"/>
        <w:jc w:val="both"/>
        <w:rPr/>
      </w:pPr>
      <w:r>
        <w:rPr/>
      </w:r>
    </w:p>
    <w:p>
      <w:pPr>
        <w:pStyle w:val="TextBody"/>
        <w:spacing w:lineRule="auto" w:line="276" w:before="0" w:after="240"/>
        <w:ind w:left="0" w:right="0" w:firstLine="63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the Participant, as of the Grant Date, that certain Award described in the Grant Notice and consisting of a grant of the Phantom Units and a grant of the Retention Component, subject to all of the terms and conditions contained in this Agreement, the Grant Notice, the Plan and the Time of Settlement Election Form (the “</w:t>
      </w:r>
      <w:r>
        <w:rPr>
          <w:rFonts w:ascii="Times New Roman;sans-serif" w:hAnsi="Times New Roman;sans-serif"/>
          <w:b/>
          <w:color w:val="000000"/>
          <w:sz w:val="24"/>
        </w:rPr>
        <w:t>Election Form</w:t>
      </w:r>
      <w:r>
        <w:rPr>
          <w:color w:val="000000"/>
        </w:rPr>
        <w:t>”</w:t>
      </w:r>
      <w:r>
        <w:rPr>
          <w:rFonts w:ascii="Times New Roman;sans-serif" w:hAnsi="Times New Roman;sans-serif"/>
          <w:b w:val="false"/>
          <w:color w:val="000000"/>
          <w:sz w:val="24"/>
        </w:rPr>
        <w:t>) (if any). Prior to actual payment in respect of any vested Phantom Unit or vested Retention Component amount, such Phantom Unit and Retention Component amount will represent an unsecured obligation of the Partnership, payable (if at all) only from the general assets of the Partnership.</w:t>
      </w:r>
    </w:p>
    <w:p>
      <w:pPr>
        <w:pStyle w:val="TextBody"/>
        <w:spacing w:lineRule="auto" w:line="276" w:before="0" w:after="240"/>
        <w:ind w:left="0" w:right="0" w:firstLine="63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____ LTIP Grant – In General.</w:t>
      </w:r>
    </w:p>
    <w:p>
      <w:pPr>
        <w:pStyle w:val="TextBody"/>
        <w:spacing w:lineRule="auto" w:line="276"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Phantom Units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below, each Phantom Unit that vests shall represent the right to receive payment,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below, in the form of one (1) Unit. Unless and until a Phantom Unit vests, the Participant will have no right to payment in respect of such Phantom Unit. </w:t>
      </w:r>
    </w:p>
    <w:p>
      <w:pPr>
        <w:pStyle w:val="TextBody"/>
        <w:spacing w:lineRule="auto" w:line="276"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Retention Component</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below, the portion of the Retention Component that vests shall represent the right to receive payment,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below, in the form of cash. Unless and until the applicable Retention Component amount vests, the Participant will have no right to payment of such amount in respect of such vested portion of the Retention Component. </w:t>
      </w:r>
    </w:p>
    <w:p>
      <w:pPr>
        <w:pStyle w:val="TextBody"/>
        <w:spacing w:lineRule="auto" w:line="276" w:before="0" w:after="240"/>
        <w:ind w:left="0" w:right="0" w:firstLine="63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Grant of Tandem DER</w:t>
      </w:r>
      <w:r>
        <w:rPr>
          <w:rFonts w:ascii="Times New Roman;sans-serif" w:hAnsi="Times New Roman;sans-serif"/>
          <w:b w:val="false"/>
          <w:color w:val="000000"/>
          <w:sz w:val="24"/>
        </w:rPr>
        <w:t xml:space="preserve">. Each Phantom Unit granted hereunder is hereby granted in tandem with a corresponding DER, which DER shall remain outstanding from the Grant Date until the earlier of the payment or forfeiture of the Phantom Unit to which it corresponds. Each vested DER shall entitle the Participant to receive payments, subject to and in accordance with this Agreement, in an amount equal to any distributions made by the Partnership in respect of the Unit underlying the Phantom Unit to which such DER relates. Such payments shall be made in cash to the extent the corresponding distribution was made in cash and shall be made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 The Company shall establish, with respect to each Phantom Unit, a separate DER bookkeeping account for such Phantom Unit (a “</w:t>
      </w:r>
      <w:r>
        <w:rPr>
          <w:rFonts w:ascii="Times New Roman;sans-serif" w:hAnsi="Times New Roman;sans-serif"/>
          <w:b/>
          <w:color w:val="000000"/>
          <w:sz w:val="24"/>
        </w:rPr>
        <w:t>DER Account</w:t>
      </w:r>
      <w:r>
        <w:rPr>
          <w:color w:val="000000"/>
        </w:rPr>
        <w:t>”</w:t>
      </w:r>
      <w:r>
        <w:rPr>
          <w:rFonts w:ascii="Times New Roman;sans-serif" w:hAnsi="Times New Roman;sans-serif"/>
          <w:b w:val="false"/>
          <w:color w:val="000000"/>
          <w:sz w:val="24"/>
        </w:rPr>
        <w:t>), which shall be credited (without interest) on the applicable distribution dates with an amount equal to any distributions made by the Partnership during the period that such Phantom Unit remains outstanding with respect to the Unit underlying the Phantom Unit to which such DER relates. Upon the vesting of a Phantom Unit, the DER (and the DER Account) with respect to such vested Phantom Unit shall also become vested. Similarly, upon the forfeiture of a Phantom Unit, the DER (and the DER Account) with respect to such forfeited Phantom Unit shall also be forfeited. DERs shall not entitle the Participant to any payments relating to distributions occurring after the earlier to occur of the applicable Phantom Unit payment date or the forfeiture of the Phantom Unit underlying such DER. The DERs and any amounts that may become distributable in respect thereof shall be treated separately from the Phantom Units and the rights arising in connection therewith for purposes of Section 409A of the Code (including for purposes of the designation of the time and form of payments required by Section 409A of the Code).</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40" name="Frame1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v:textbox>
              </v:rect>
            </w:pict>
          </mc:Fallback>
        </mc:AlternateContent>
      </w:r>
    </w:p>
    <w:p>
      <w:pPr>
        <w:pStyle w:val="TextBody"/>
        <w:spacing w:lineRule="auto" w:line="276" w:before="0" w:after="240"/>
        <w:ind w:left="0" w:right="0" w:firstLine="63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Vesting and Termination</w:t>
      </w:r>
      <w:r>
        <w:rPr>
          <w:rFonts w:ascii="Times New Roman;sans-serif" w:hAnsi="Times New Roman;sans-serif"/>
          <w:b w:val="false"/>
          <w:color w:val="000000"/>
          <w:sz w:val="24"/>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Vesting</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the Phantom Units and Retention Component shall vest in such amounts and at such times as are set forth in the Grant Notice above. </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Accelerated Vesting</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below, the unvested portions of the Phantom Units and Retention Component shall vest in full upon the occurrence of any of the following events: (i) a termination of the Participant’s Service by the Company or the Partnership other than for Cause, (ii) a termination of the Participant’s Service by the Participant for Good Reason (as that term shall be defined in a written agreement (if any) between the Company and the Participant), (iii) a termination of the Participant’s Service by reason of the Participant’s death or Disability, or (iv) a Change in Control.</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Forfeiture</w:t>
      </w:r>
      <w:r>
        <w:rPr>
          <w:rFonts w:ascii="Times New Roman;sans-serif" w:hAnsi="Times New Roman;sans-serif"/>
          <w:b w:val="false"/>
          <w:color w:val="000000"/>
          <w:sz w:val="24"/>
        </w:rPr>
        <w:t xml:space="preserve">. Notwithstanding the foregoing, in the event of a termination of the Participant’s Service for any reason, all Phantom Units and Retention Component amounts that have not vested prior to or in connection with such termination of Service shall thereupon automatically be forfeited by the Participant without further action and without payment of consideration therefor. No portion of the Phantom Units or Retention Component which has not become vested at the date of the Participant’s termination of Service shall thereafter become vested. </w: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i/>
          <w:color w:val="000000"/>
          <w:sz w:val="24"/>
        </w:rPr>
        <w:t>Payment</w:t>
      </w:r>
      <w:r>
        <w:rPr>
          <w:rFonts w:ascii="Times New Roman;sans-serif" w:hAnsi="Times New Roman;sans-serif"/>
          <w:b w:val="false"/>
          <w:color w:val="000000"/>
          <w:sz w:val="24"/>
        </w:rPr>
        <w:t xml:space="preserve">. Vested Phantom Units and vested Retention Component amounts shall be subject to the payment provisions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76" w:before="0" w:after="240"/>
        <w:ind w:left="0" w:right="0" w:firstLine="63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Phantom Units, DERs and Retention Components</w:t>
      </w:r>
      <w:r>
        <w:rPr>
          <w:rFonts w:ascii="Times New Roman;sans-serif" w:hAnsi="Times New Roman;sans-serif"/>
          <w:b w:val="false"/>
          <w:color w:val="000000"/>
          <w:sz w:val="24"/>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Phantom Units</w:t>
      </w:r>
      <w:r>
        <w:rPr>
          <w:rFonts w:ascii="Times New Roman;sans-serif" w:hAnsi="Times New Roman;sans-serif"/>
          <w:b w:val="false"/>
          <w:color w:val="000000"/>
          <w:sz w:val="24"/>
        </w:rPr>
        <w:t xml:space="preserve">. Unpaid, vested Phantom Units shall be paid to the Participant (or in the event of the Participant’s death, to the Participant’s estate) in the form of Units or in the Company’s sole discretion cash, or a combination of both, in an amount equal to the Fair Market Value of a Unit, in a lump-sum as soon as reasonably practical, but not later than forty-five (45) days, following the date on which such Phantom Units vest or, if applicable, at the time elected pursuant to the Election Form. </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DERs</w:t>
      </w:r>
      <w:r>
        <w:rPr>
          <w:rFonts w:ascii="Times New Roman;sans-serif" w:hAnsi="Times New Roman;sans-serif"/>
          <w:b w:val="false"/>
          <w:color w:val="000000"/>
          <w:sz w:val="24"/>
        </w:rPr>
        <w:t xml:space="preserve">. Unpaid, vested DERs shall be paid to the Participant (or in the event of the Participant’s death, to the Participant’s estate) as soon as reasonably practical, but not later than forty-five (45) days, following the date on which a Phantom Unit and related DER vests, in the form of a cash payment equal to the amount then credited to the DER Account maintained with respect to such Phantom Unit or, if applicable, at the time elected pursuant to the Election Form. </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Retention Components</w:t>
      </w:r>
      <w:r>
        <w:rPr>
          <w:rFonts w:ascii="Times New Roman;sans-serif" w:hAnsi="Times New Roman;sans-serif"/>
          <w:b w:val="false"/>
          <w:color w:val="000000"/>
          <w:sz w:val="24"/>
        </w:rPr>
        <w:t xml:space="preserve">. Unpaid, vested Retention Component amounts shall be paid to the Participant (or in the event of the Participant’s death, to the Participant’s estate) as soon as reasonably practical, but not later than forty-five (45) days, following the date on which the applicable Retention Component amount vests, in the form of a cash payment or, if applicable, at the time elected pursuant to the Election Form. </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Potential Six-Month Delay</w:t>
      </w:r>
      <w:r>
        <w:rPr>
          <w:rFonts w:ascii="Times New Roman;sans-serif" w:hAnsi="Times New Roman;sans-serif"/>
          <w:b w:val="false"/>
          <w:color w:val="000000"/>
          <w:sz w:val="24"/>
        </w:rPr>
        <w:t xml:space="preserve">. Notwithstanding anything to the contrary in this Agreement, no amounts payable under this Agreement shall be paid to the Participant prior to the expiration of the six (6)-month period following his or her “separation from service” (within the meaning of Treasury Regulation Section 1.409A-1(h)) (a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41" name="Frame1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lineRule="auto" w:line="240" w:before="0" w:after="240"/>
        <w:jc w:val="both"/>
        <w:rPr/>
      </w:pPr>
      <w:r>
        <w:rPr>
          <w:color w:val="000000"/>
        </w:rPr>
        <w:t>“</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to the extent that the Company determines that paying such amounts prior to the expiration of such six (6)-month period would result in a prohibited distribution under Section 409A(a)(2)(B)(i) of the Code. If the payment of any such amounts is delayed as a result of the previous sentence, then on the first business day following the end of the applicable six (6)-month period (or such earlier date upon which such amounts can be paid under Section 409A of the Code without resulting in a prohibited distribution, including as a result of the Participant’s death), such amounts shall be paid to the Participant.</w:t>
      </w:r>
    </w:p>
    <w:p>
      <w:pPr>
        <w:pStyle w:val="TextBody"/>
        <w:spacing w:lineRule="auto" w:line="276" w:before="0" w:after="240"/>
        <w:ind w:left="0" w:right="0" w:firstLine="63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In General</w:t>
      </w:r>
      <w:r>
        <w:rPr>
          <w:rFonts w:ascii="Times New Roman;sans-serif" w:hAnsi="Times New Roman;sans-serif"/>
          <w:b w:val="false"/>
          <w:color w:val="000000"/>
          <w:sz w:val="24"/>
        </w:rPr>
        <w:t xml:space="preserve">. The Company and/or its Affiliates shall have the authority and the right to deduct or withhold, or to require the Participant to remit to the Company and/or its Affiliates, an amount sufficient to satisfy all applicable federal, state and local taxes (including the Participant’s employment tax obligations) that become due under applicable law with respect to any taxable event arising in connection with the Award. </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Phantom Unit Matters</w:t>
      </w:r>
      <w:r>
        <w:rPr>
          <w:rFonts w:ascii="Times New Roman;sans-serif" w:hAnsi="Times New Roman;sans-serif"/>
          <w:b w:val="false"/>
          <w:color w:val="000000"/>
          <w:sz w:val="24"/>
        </w:rPr>
        <w:t>. The Company and/or its Affiliates shall have the authority and right to satisfy such withholding amounts from proceeds of the sale of Units acquired upon vesting of the Phantom Units either through a voluntary sale or through a mandatory sale arranged by the Company (on the Participant’s behalf pursuant to this authorization). In satisfaction of the foregoing requirement, unless otherwise determined by the Committee (which determination may not be delegated), the Company and/or its Affiliates shall withhold Units otherwise issuable in respect of such Phantom Units having a Fair Market Value equal to the sums required to be withheld. In the event that Units that would otherwise be issued in payment of the Phantom Units are used to satisfy such withholding obligations, the number of Units which shall be so withheld shall, unless otherwise approved by the Committee, not exceed the number of Units that would result in an accounting charge with respect to such Units used to pay such taxes.</w:t>
      </w:r>
    </w:p>
    <w:p>
      <w:pPr>
        <w:pStyle w:val="TextBody"/>
        <w:spacing w:lineRule="auto" w:line="276"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Rights as Unit Holder</w:t>
      </w:r>
      <w:r>
        <w:rPr>
          <w:rFonts w:ascii="Times New Roman;sans-serif" w:hAnsi="Times New Roman;sans-serif"/>
          <w:b w:val="false"/>
          <w:color w:val="000000"/>
          <w:sz w:val="24"/>
        </w:rPr>
        <w:t>. Neither the Participant nor any person claiming under or through the Participant shall, with respect to any Phantom Units subject to the Award, have any of the rights or privileges of a holder of Units in respect of any Units that may become deliverable hereunder unless and until certificates representing such Units shall have been issued or recorded in book entry form on the records of the Partnership or its transfer agents or registrars, and delivered in certificate or book entry form to the Participant or any person claiming under or through the Participant.</w:t>
      </w:r>
    </w:p>
    <w:p>
      <w:pPr>
        <w:pStyle w:val="TextBody"/>
        <w:spacing w:lineRule="auto" w:line="276"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Neither the Phantom Units, the DERs or the Retention Component nor any right of the Participant thereunder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the Partnership and any of their Affiliates.</w:t>
      </w:r>
    </w:p>
    <w:p>
      <w:pPr>
        <w:pStyle w:val="TextBody"/>
        <w:spacing w:lineRule="auto" w:line="276" w:before="0" w:after="240"/>
        <w:ind w:left="0" w:right="0" w:firstLine="63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Distribution of Units</w:t>
      </w:r>
      <w:r>
        <w:rPr>
          <w:rFonts w:ascii="Times New Roman;sans-serif" w:hAnsi="Times New Roman;sans-serif"/>
          <w:b w:val="false"/>
          <w:color w:val="000000"/>
          <w:sz w:val="24"/>
        </w:rPr>
        <w:t xml:space="preserve">. Unless otherwise determined by the Committee or required by any applicable law, rule or regulation, neither the Company nor the Partnership shall deliver to the Participant, with respect to any payment relating to the Phantom Units under the Award, certificates evidencing Units issued pursuant to this Agreement and instead such Units shall be recorded in the books of the Partnership (or, as applicable, its transfer agent or equity plan administrator). All certificates for any such Units issued pursuant to this Agreement and all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42" name="Frame1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Units issued pursuant to book entry procedures hereunder shall be subject to such stop transfer orders and other restrictions as the Company may deem advisable under the Plan or the rules, regulations, and other requirements of the Securities Exchange Commission, any stock exchange upon which such Units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Units shall be issued or delivered pursuant to the Phantom Units and the Committee shall determine whether cash, other securities, or other property shall be paid or transferred in lieu of fractional Units or whether such fractional Units or any rights thereto shall be canceled, terminated, or otherwise eliminated.</w:t>
      </w:r>
    </w:p>
    <w:p>
      <w:pPr>
        <w:pStyle w:val="TextBody"/>
        <w:spacing w:lineRule="auto" w:line="240" w:before="0" w:after="240"/>
        <w:ind w:left="0" w:right="0" w:firstLine="63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Partnership Agreement</w:t>
      </w:r>
      <w:r>
        <w:rPr>
          <w:rFonts w:ascii="Times New Roman;sans-serif" w:hAnsi="Times New Roman;sans-serif"/>
          <w:b w:val="false"/>
          <w:color w:val="000000"/>
          <w:sz w:val="24"/>
        </w:rPr>
        <w:t>. Units issued upon payment of the Phantom Units under the Award shall be subject to the terms of the Plan and the Partnership Agreement. Upon the issuance of Units to the Participant, the Participant shall, automatically and without further action on his or her part, (i) be admitted to the Partnership as a Limited Partner (as defined in the Partnership Agreement) with respect to the Units, and (ii) become bound, and be deemed to have agreed to be bound, by the terms of the Partnership Agreement.</w:t>
      </w:r>
    </w:p>
    <w:p>
      <w:pPr>
        <w:pStyle w:val="TextBody"/>
        <w:spacing w:lineRule="auto" w:line="276" w:before="0" w:after="240"/>
        <w:ind w:left="0" w:right="0" w:firstLine="63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 Effect on Service</w:t>
      </w:r>
      <w:r>
        <w:rPr>
          <w:rFonts w:ascii="Times New Roman;sans-serif" w:hAnsi="Times New Roman;sans-serif"/>
          <w:b w:val="false"/>
          <w:color w:val="000000"/>
          <w:sz w:val="24"/>
        </w:rPr>
        <w:t>.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w:t>
      </w:r>
    </w:p>
    <w:p>
      <w:pPr>
        <w:pStyle w:val="TextBody"/>
        <w:spacing w:lineRule="auto" w:line="276" w:before="0" w:after="240"/>
        <w:ind w:left="0" w:right="0" w:firstLine="63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pStyle w:val="TextBody"/>
        <w:spacing w:lineRule="auto" w:line="276" w:before="0" w:after="240"/>
        <w:ind w:left="0" w:right="0" w:firstLine="63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None of the Board, the Committee, the Company nor the Partnership has made any warranty or representation to Participant with respect to the income tax consequences that relate to the Award or the transactions contemplated by this Agreement, and the Participant represents that he or she is in no manner relying on such entities or their representatives for tax advice or an assessment of such tax consequences. The Participant understands that the Participant may suffer adverse tax consequences in connection with the Phantom Units, the DERs and the Retention Component granted hereunder. The Participant represents that the Participant has consulted with any tax consultants that the Participant deems advisable in connection with the Award.</w:t>
      </w:r>
    </w:p>
    <w:p>
      <w:pPr>
        <w:pStyle w:val="TextBody"/>
        <w:spacing w:lineRule="auto" w:line="276" w:before="0" w:after="240"/>
        <w:ind w:left="0" w:right="0" w:firstLine="63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Amendments, Suspension and Termination</w:t>
      </w:r>
      <w:r>
        <w:rPr>
          <w:rFonts w:ascii="Times New Roman;sans-serif" w:hAnsi="Times New Roman;sans-serif"/>
          <w:b w:val="false"/>
          <w:color w:val="000000"/>
          <w:sz w:val="24"/>
        </w:rPr>
        <w:t xml:space="preserve">. Subject to Section 7(a) of the Plan, the Committee may waive any conditions or rights under, amend any terms of, or alter this Agreement at any time, provided that no such change, other than pursuant to Section 7(c) of the </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3" name="Frame1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Plan, shall materially reduce the rights or benefits of the Participant without the Participant’s consent.</w:t>
      </w:r>
    </w:p>
    <w:p>
      <w:pPr>
        <w:pStyle w:val="TextBody"/>
        <w:spacing w:lineRule="auto" w:line="276" w:before="0" w:after="240"/>
        <w:ind w:left="0" w:right="0" w:firstLine="63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Conformity to Securities Laws</w:t>
      </w:r>
      <w:r>
        <w:rPr>
          <w:rFonts w:ascii="Times New Roman;sans-serif" w:hAnsi="Times New Roman;sans-serif"/>
          <w:b w:val="false"/>
          <w:color w:val="000000"/>
          <w:sz w:val="24"/>
        </w:rPr>
        <w:t>. The Participant acknowledges that the Plan and this Agreement are intended to conform to the extent necessary with all provisions of the Securities Act and the Exchange Act, any and all regulations and rules promulgated by the Securities and Exchange Commission thereunder, and all applicable state securities laws and regulations. Notwithstanding anything herein to the contrary, the Plan shall be administered, and the Phantom Units, the DERs and the Retention Component are granted, only in such a manner as to conform to such laws, rules and regulations. To the extent permitted by applicable law, the Plan and this Agreement shall be deemed amended to the extent necessary to conform to such laws, rules and regulations.</w:t>
      </w:r>
    </w:p>
    <w:p>
      <w:pPr>
        <w:pStyle w:val="TextBody"/>
        <w:spacing w:lineRule="auto" w:line="276" w:before="0" w:after="240"/>
        <w:ind w:left="0" w:right="0" w:firstLine="63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Neither the Award nor any of the payments made pursuant to this Agreement are intended to constitute or provide for a deferral of compensation that is subject to Section 409A of the Code, except to the extent the Participant elects a deferred payment date pursuant to the Election Form. To the extent that the Committee determines that the Award or any such payment is not exempt from (or, if an election is made pursuant to the Election Form, compliant with) Section 409A of the Code, the Committee may (but shall not be required to) amend this Agreement or the Election Form, if applicable, in a manner intended to comply with the requirements of Section 409A of the Code or an exemption therefrom (including amendments with retroactive effect), or take any other actions as it deems necessary or appropriate to (a) exempt the Award or the payments thereunder from Section 409A of the Code and/or preserve the intended tax treatment of the benefits provided with respect to the Phantom Units, the DERs and the Retention Component, or (b) comply with the requirements of Section 409A of the Code. To the extent applicable, this Agreement and the Election Form (if any) shall be interpreted in accordance with the provisions of Section 409A of the Code. Notwithstanding anything in this Agreement or the Election Form (if any) to the contrary, to the extent that any payment or benefit hereunder constitutes non-exempt “nonqualified deferred compensation” for purposes of Section 409A of the Code, and such payment or benefit would otherwise be payable or distributable hereunder by reason of the Participant’s termination of Service, all references to the Participant’s termination of Service shall be construed to mean a Separation from Service, and the Participant shall not be considered to have a termination of Service unless such termination constitutes a Separation from Service with respect to the Participant.</w:t>
      </w:r>
    </w:p>
    <w:p>
      <w:pPr>
        <w:pStyle w:val="TextBody"/>
        <w:spacing w:lineRule="auto" w:line="276" w:before="0" w:after="240"/>
        <w:ind w:left="0" w:right="0" w:firstLine="63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Adjustments; Clawback</w:t>
      </w:r>
      <w:r>
        <w:rPr>
          <w:rFonts w:ascii="Times New Roman;sans-serif" w:hAnsi="Times New Roman;sans-serif"/>
          <w:b w:val="false"/>
          <w:color w:val="000000"/>
          <w:sz w:val="24"/>
        </w:rPr>
        <w:t>. The Participant acknowledges that the Award is subject to modification and termination in certain events as provided in this Agreement and Section 7 of the Plan. The Participant further acknowledges that the Award and any payments made hereunder shall be subject to the provisions of any clawback policy that may be adopted as provided in Section 8(o) of the Plan.</w:t>
      </w:r>
    </w:p>
    <w:p>
      <w:pPr>
        <w:pStyle w:val="TextBody"/>
        <w:spacing w:lineRule="auto" w:line="276" w:before="0" w:after="240"/>
        <w:ind w:left="0" w:right="0" w:firstLine="63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or the Partnership may assign any of its rights under this Agreement to single or multiple assignees, and this Agreement shall inure to the benefit of the successors and assigns of the Company and the Partnership. Subject to the restrictions on transfer contained herein, this Agreement shall be binding upon the Participant and his or her heirs, executors, administrators, successors and assigns.</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4" name="Frame1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lineRule="auto" w:line="276" w:before="0" w:after="240"/>
        <w:ind w:left="0" w:right="0" w:firstLine="63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validity, construction, and effect of this Agreement and any rules and regulations relating to this Agreement shall be determined in accordance with the laws of the State of Delaware without regard to its conflicts of laws principles.</w:t>
      </w:r>
    </w:p>
    <w:p>
      <w:pPr>
        <w:pStyle w:val="TextBody"/>
        <w:spacing w:lineRule="auto" w:line="276" w:before="0" w:after="240"/>
        <w:ind w:left="0" w:right="0" w:firstLine="63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Consent to Jurisdiction and Services of Process; Appointment of Agent</w:t>
      </w:r>
      <w:r>
        <w:rPr>
          <w:rFonts w:ascii="Times New Roman;sans-serif" w:hAnsi="Times New Roman;sans-serif"/>
          <w:b w:val="false"/>
          <w:color w:val="000000"/>
          <w:sz w:val="24"/>
        </w:rPr>
        <w:t>. NOTWITHSTANDING ANYTHING TO THE CONTRARY IN THE PARTNERSHIP AGREEMENT, EACH PARTY TO THIS AGREEMENT HEREBY CONSENTS TO THE EXCLUSIVE</w:t>
      </w:r>
      <w:r>
        <w:rPr>
          <w:color w:val="000000"/>
        </w:rPr>
        <w:t xml:space="preserve"> </w:t>
      </w:r>
      <w:r>
        <w:rPr>
          <w:rFonts w:ascii="Times New Roman;sans-serif" w:hAnsi="Times New Roman;sans-serif"/>
          <w:b w:val="false"/>
          <w:color w:val="000000"/>
          <w:sz w:val="24"/>
        </w:rPr>
        <w:t>JURISDICTION OF THE UNITED STATES DISTRICT COURT FOR THE SOUTHERN DISTRICT OF NEW YORK AND OF THE STATE COURTS LOCATED IN THE STATE OF NEW YORK IN NEW YORK COUNTY AND IRREVOCABLY AGREES THAT ALL ACTIONS OR PROCEEDINGS ARISING OUT OF OR RELATING TO THIS AGREEMENT, THE PHANTOM UNITS OR THE RETENTION AWARD,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PARTY’S PROPERTIES, GENERALLY AND UNCONDITIONALLY, THE EXCLUSIVE 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pStyle w:val="TextBody"/>
        <w:spacing w:lineRule="auto" w:line="276" w:before="0" w:after="240"/>
        <w:ind w:left="0" w:right="0" w:firstLine="63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spacing w:before="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5" name="Frame1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signature below indicates the Participant’s agreement with and understanding that the Award is subject to all of the terms and conditions contained in the Plan, in this Agreement, the Grant Notice and in the Election Form (if any), and that, in the event that there are any inconsistencies between the terms of the Plan and the terms of this Agreement, the terms of the Plan shall control. The Participant further acknowledges that the Participant has read and understands the Plan, this Agreement and the Election Form (if any), which contain the specific terms and conditions of the Award. The Participant hereby agrees to accept as binding, conclusive and final all decisions or interpretations of the Committee upon any questions arising under the Plan, this Agreement, the Grant Notice or the Election Form (if any).</w:t>
      </w:r>
    </w:p>
    <w:p>
      <w:pPr>
        <w:pStyle w:val="TextBody"/>
        <w:spacing w:before="0" w:after="240"/>
        <w:ind w:left="0" w:right="0" w:firstLine="720"/>
        <w:jc w:val="both"/>
        <w:rPr/>
      </w:pPr>
      <w:r>
        <w:rPr/>
      </w:r>
    </w:p>
    <w:p>
      <w:pPr>
        <w:pStyle w:val="TextBody"/>
        <w:spacing w:lineRule="auto" w:line="240" w:before="0" w:after="0"/>
        <w:rPr/>
      </w:pPr>
      <w:r>
        <w:rPr>
          <w:rFonts w:ascii="Times New Roman;sans-serif" w:hAnsi="Times New Roman;sans-serif"/>
          <w:b/>
          <w:color w:val="000000"/>
          <w:sz w:val="24"/>
        </w:rPr>
        <w:t>SUMMIT MIDSTREAM GP, LLC</w:t>
      </w:r>
      <w:r>
        <w:rPr>
          <w:rFonts w:ascii="Times New Roman;sans-serif" w:hAnsi="Times New Roman;sans-serif"/>
          <w:b w:val="false"/>
          <w:color w:val="000000"/>
          <w:sz w:val="24"/>
        </w:rPr>
        <w:t>,</w:t>
        <w:br/>
        <w:t>a Delaware limited liability company</w:t>
        <w:br/>
        <w:br/>
        <w:t>By: J. Heath Deneke</w:t>
        <w:br/>
        <w:t>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__________________________________</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 Heath Deneke</w:t>
        <w:br/>
        <w:t>Title: President and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SUMMIT MIDSTREAM PARTNERS, LP</w:t>
      </w:r>
      <w:r>
        <w:rPr>
          <w:rFonts w:ascii="Times New Roman;sans-serif" w:hAnsi="Times New Roman;sans-serif"/>
          <w:b w:val="false"/>
          <w:color w:val="000000"/>
          <w:sz w:val="24"/>
        </w:rPr>
        <w:t xml:space="preserve">, </w:t>
        <w:br/>
        <w:t>a Delaware limited partnership</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br/>
        <w:t>By: Summit Midstream GP, LLC</w:t>
        <w:br/>
        <w:t>Its: General Partner</w:t>
      </w:r>
    </w:p>
    <w:p>
      <w:pPr>
        <w:pStyle w:val="TextBody"/>
        <w:spacing w:before="0" w:after="0"/>
        <w:rPr/>
      </w:pPr>
      <w:r>
        <w:rPr/>
      </w:r>
    </w:p>
    <w:p>
      <w:pPr>
        <w:pStyle w:val="TextBody"/>
        <w:spacing w:before="0" w:after="0"/>
        <w:rPr/>
      </w:pPr>
      <w:r>
        <w:rPr/>
      </w:r>
    </w:p>
    <w:p>
      <w:pPr>
        <w:pStyle w:val="TextBody"/>
        <w:spacing w:lineRule="auto" w:line="240" w:before="0" w:after="0"/>
        <w:ind w:left="0" w:right="0" w:hanging="360"/>
        <w:rPr/>
      </w:pPr>
      <w:r>
        <w:rPr>
          <w:rFonts w:ascii="Times New Roman;sans-serif" w:hAnsi="Times New Roman;sans-serif"/>
          <w:b w:val="false"/>
          <w:color w:val="000000"/>
          <w:sz w:val="24"/>
        </w:rPr>
        <w:t>By:__________________________________</w:t>
      </w:r>
      <w:r>
        <w:rPr>
          <w:color w:val="000000"/>
          <w:u w:val="single"/>
        </w:rPr>
        <w:t xml:space="preserve">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J. Heath Deneke</w:t>
        <w:br/>
        <w:t>Title: President and Chief Executive Officer</w:t>
      </w:r>
    </w:p>
    <w:p>
      <w:pPr>
        <w:pStyle w:val="TextBody"/>
        <w:spacing w:before="0" w:after="0"/>
        <w:rPr/>
      </w:pPr>
      <w:r>
        <w:rPr/>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4"/>
        </w:rPr>
        <w:t>PARTICIPANT</w:t>
      </w:r>
      <w:r>
        <w:rPr>
          <w:color w:val="000000"/>
        </w:rPr>
        <w:t>”</w:t>
      </w:r>
    </w:p>
    <w:p>
      <w:pPr>
        <w:pStyle w:val="TextBody"/>
        <w:spacing w:before="0" w:after="0"/>
        <w:rPr/>
      </w:pPr>
      <w:r>
        <w:rPr/>
      </w:r>
    </w:p>
    <w:p>
      <w:pPr>
        <w:pStyle w:val="TextBody"/>
        <w:spacing w:before="0" w:after="0"/>
        <w:rPr/>
      </w:pPr>
      <w:r>
        <w:rPr/>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w:t>
        <w:br/>
        <w:t>[Name]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Calibri;sans-serif" w:hAnsi="Calibri;sans-serif"/>
          <w:b/>
          <w:color w:val="000000"/>
          <w:sz w:val="22"/>
        </w:rPr>
      </w:pPr>
      <w:r>
        <w:rPr>
          <w:rFonts w:ascii="Calibri;sans-serif" w:hAnsi="Calibri;sans-serif"/>
          <w:b/>
          <w:color w:val="000000"/>
          <w:sz w:val="22"/>
        </w:rPr>
        <w:t>E</w:t>
      </w:r>
      <w:r>
        <w:rPr>
          <w:rFonts w:ascii="Calibri;sans-serif" w:hAnsi="Calibri;sans-serif"/>
          <w:b/>
          <w:color w:val="000000"/>
          <w:sz w:val="22"/>
        </w:rPr>
        <w:t>XHIBIT 23.1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1945"/>
                <wp:effectExtent l="0" t="0" r="0" b="0"/>
                <wp:wrapNone/>
                <wp:docPr id="146" name="Frame1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4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v:textbox>
              </v:rect>
            </w:pict>
          </mc:Fallback>
        </mc:AlternateContent>
      </w:r>
    </w:p>
    <w:p>
      <w:pPr>
        <w:pStyle w:val="TextBody"/>
        <w:spacing w:lineRule="auto" w:line="300" w:before="0" w:after="16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 333-234781 on Form S-3 and Nos. 333-184214, 333-189684 and 333-237323 on Form S-8 of our reports dated February 28, 2022, relating to the consolidated financial statements of Summit Midstream Partners, LP and subsidiaries (the “Partnership”), and the effectiveness of the Partnership's internal control over financial reporting, appearing in this Annual Report on Form 10-K of Summit Midstream Partners, LP for the year ended December 31, 2021. </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DELOITTE &amp; TOUCHE LLP</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 Heath Deneke, certify that: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Summit Midstream Partners, LP;</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0205" w:type="dxa"/>
        <w:jc w:val="left"/>
        <w:tblInd w:w="0" w:type="dxa"/>
        <w:tblCellMar>
          <w:top w:w="28" w:type="dxa"/>
          <w:left w:w="28" w:type="dxa"/>
          <w:bottom w:w="28" w:type="dxa"/>
          <w:right w:w="28" w:type="dxa"/>
        </w:tblCellMar>
      </w:tblPr>
      <w:tblGrid>
        <w:gridCol w:w="193"/>
        <w:gridCol w:w="171"/>
        <w:gridCol w:w="172"/>
        <w:gridCol w:w="452"/>
        <w:gridCol w:w="452"/>
        <w:gridCol w:w="453"/>
        <w:gridCol w:w="109"/>
        <w:gridCol w:w="109"/>
        <w:gridCol w:w="109"/>
        <w:gridCol w:w="2382"/>
        <w:gridCol w:w="2326"/>
        <w:gridCol w:w="3277"/>
      </w:tblGrid>
      <w:tr>
        <w:trPr/>
        <w:tc>
          <w:tcPr>
            <w:tcW w:w="19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3277" w:type="dxa"/>
            <w:tcBorders/>
            <w:shd w:fill="auto" w:val="clear"/>
            <w:vAlign w:val="center"/>
          </w:tcPr>
          <w:p>
            <w:pPr>
              <w:pStyle w:val="TableContents"/>
              <w:spacing w:before="0" w:after="283"/>
              <w:rPr>
                <w:sz w:val="4"/>
                <w:szCs w:val="4"/>
              </w:rPr>
            </w:pPr>
            <w:r>
              <w:rPr>
                <w:sz w:val="4"/>
                <w:szCs w:val="4"/>
              </w:rPr>
            </w:r>
          </w:p>
        </w:tc>
      </w:tr>
      <w:tr>
        <w:trPr/>
        <w:tc>
          <w:tcPr>
            <w:tcW w:w="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 Deneke</w:t>
            </w:r>
          </w:p>
        </w:tc>
      </w:tr>
      <w:tr>
        <w:trPr/>
        <w:tc>
          <w:tcPr>
            <w:tcW w:w="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 Deneke</w:t>
            </w:r>
          </w:p>
        </w:tc>
      </w:tr>
      <w:tr>
        <w:trPr/>
        <w:tc>
          <w:tcPr>
            <w:tcW w:w="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of Summit Midstream GP, LLC (the general partner of Summit Midstream Partners, LP)</w:t>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 William J. Mault, certify that: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Summit Midstream Partners, LP;</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0205" w:type="dxa"/>
        <w:jc w:val="left"/>
        <w:tblInd w:w="0" w:type="dxa"/>
        <w:tblCellMar>
          <w:top w:w="28" w:type="dxa"/>
          <w:left w:w="28" w:type="dxa"/>
          <w:bottom w:w="28" w:type="dxa"/>
          <w:right w:w="28" w:type="dxa"/>
        </w:tblCellMar>
      </w:tblPr>
      <w:tblGrid>
        <w:gridCol w:w="193"/>
        <w:gridCol w:w="170"/>
        <w:gridCol w:w="171"/>
        <w:gridCol w:w="444"/>
        <w:gridCol w:w="444"/>
        <w:gridCol w:w="446"/>
        <w:gridCol w:w="109"/>
        <w:gridCol w:w="109"/>
        <w:gridCol w:w="109"/>
        <w:gridCol w:w="2412"/>
        <w:gridCol w:w="2322"/>
        <w:gridCol w:w="3276"/>
      </w:tblGrid>
      <w:tr>
        <w:trPr/>
        <w:tc>
          <w:tcPr>
            <w:tcW w:w="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2" w:type="dxa"/>
            <w:tcBorders/>
            <w:shd w:fill="auto" w:val="clear"/>
            <w:vAlign w:val="center"/>
          </w:tcPr>
          <w:p>
            <w:pPr>
              <w:pStyle w:val="TableContents"/>
              <w:spacing w:before="0" w:after="283"/>
              <w:rPr>
                <w:sz w:val="4"/>
                <w:szCs w:val="4"/>
              </w:rPr>
            </w:pPr>
            <w:r>
              <w:rPr>
                <w:sz w:val="4"/>
                <w:szCs w:val="4"/>
              </w:rPr>
            </w:r>
          </w:p>
        </w:tc>
        <w:tc>
          <w:tcPr>
            <w:tcW w:w="2322" w:type="dxa"/>
            <w:tcBorders/>
            <w:shd w:fill="auto" w:val="clear"/>
            <w:vAlign w:val="center"/>
          </w:tcPr>
          <w:p>
            <w:pPr>
              <w:pStyle w:val="TableContents"/>
              <w:spacing w:before="0" w:after="283"/>
              <w:rPr>
                <w:sz w:val="4"/>
                <w:szCs w:val="4"/>
              </w:rPr>
            </w:pPr>
            <w:r>
              <w:rPr>
                <w:sz w:val="4"/>
                <w:szCs w:val="4"/>
              </w:rPr>
            </w:r>
          </w:p>
        </w:tc>
        <w:tc>
          <w:tcPr>
            <w:tcW w:w="3276" w:type="dxa"/>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Summit Midstream GP, LLC (the general partner of Summit Midstream Partners, LP)</w:t>
            </w:r>
          </w:p>
        </w:tc>
      </w:tr>
    </w:tbl>
    <w:p>
      <w:pPr>
        <w:pStyle w:val="TextBody"/>
        <w:spacing w:before="12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Summit Midstream Partners, LP (the “Registrant”) for the annual period ended December 31, 2021,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10205" w:type="dxa"/>
        <w:jc w:val="center"/>
        <w:tblInd w:w="0" w:type="dxa"/>
        <w:tblCellMar>
          <w:top w:w="28" w:type="dxa"/>
          <w:left w:w="28" w:type="dxa"/>
          <w:bottom w:w="28" w:type="dxa"/>
          <w:right w:w="28" w:type="dxa"/>
        </w:tblCellMar>
      </w:tblPr>
      <w:tblGrid>
        <w:gridCol w:w="268"/>
        <w:gridCol w:w="227"/>
        <w:gridCol w:w="211"/>
        <w:gridCol w:w="2760"/>
        <w:gridCol w:w="2756"/>
        <w:gridCol w:w="3983"/>
      </w:tblGrid>
      <w:tr>
        <w:trPr/>
        <w:tc>
          <w:tcPr>
            <w:tcW w:w="2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3983"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Heath Deneke</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9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 Deneke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9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of Summit Midstream GP, LLC (the general partner of Summit Midstream Partners, LP)</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9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9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9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Summit Midstream GP, LLC (the general partner of Summit Midstream Partners, LP)</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9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spacing w:lineRule="auto" w:line="288" w:before="9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 32.1-1</w:t>
      </w:r>
      <w:r>
        <w:br w:type="page"/>
      </w:r>
    </w:p>
    <w:p>
      <w:pPr>
        <w:pStyle w:val="TextBody"/>
        <w:spacing w:before="0" w:after="283"/>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49922/000119312520133180/d921511dex21.htm" TargetMode="External"/><Relationship Id="rId4" Type="http://schemas.openxmlformats.org/officeDocument/2006/relationships/hyperlink" Target="https://www.sec.gov/Archives/edgar/data/1549922/000119312520158609/d933187dex31.htm" TargetMode="External"/><Relationship Id="rId5" Type="http://schemas.openxmlformats.org/officeDocument/2006/relationships/hyperlink" Target="https://www.sec.gov/Archives/edgar/data/1549922/000119312520158609/d933187dex32.htm" TargetMode="External"/><Relationship Id="rId6" Type="http://schemas.openxmlformats.org/officeDocument/2006/relationships/hyperlink" Target="https://www.sec.gov/Archives/edgar/data/1549922/000104746912008450/a2209444zex-3_1.htm" TargetMode="External"/><Relationship Id="rId7" Type="http://schemas.openxmlformats.org/officeDocument/2006/relationships/hyperlink" Target="https://www.sec.gov/Archives/edgar/data/1549922/000104746912008450/a2209444zex-3_4.htm" TargetMode="External"/><Relationship Id="rId8" Type="http://schemas.openxmlformats.org/officeDocument/2006/relationships/hyperlink" Target="https://www.sec.gov/Archives/edgar/data/1549922/000119312521131643/d152070dex41.htm" TargetMode="External"/><Relationship Id="rId9" Type="http://schemas.openxmlformats.org/officeDocument/2006/relationships/hyperlink" Target="https://www.sec.gov/Archives/edgar/data/1549922/000110465912067606/a12-22459_2ex4d1.htm" TargetMode="External"/><Relationship Id="rId10" Type="http://schemas.openxmlformats.org/officeDocument/2006/relationships/hyperlink" Target="https://www.sec.gov/Archives/edgar/data/1549922/000119312520296323/d92241dex101.htm" TargetMode="External"/><Relationship Id="rId11" Type="http://schemas.openxmlformats.org/officeDocument/2006/relationships/hyperlink" Target="https://www.sec.gov/Archives/edgar/data/1549922/000119312520296323/d92241dex102.htm" TargetMode="External"/><Relationship Id="rId12" Type="http://schemas.openxmlformats.org/officeDocument/2006/relationships/hyperlink" Target="https://www.sec.gov/Archives/edgar/data/1549922/000119312520296323/d92241dex103.htm" TargetMode="External"/><Relationship Id="rId13" Type="http://schemas.openxmlformats.org/officeDocument/2006/relationships/hyperlink" Target="https://www.sec.gov/Archives/edgar/data/1549922/000119312520158609/d933187dex101.htm" TargetMode="External"/><Relationship Id="rId14" Type="http://schemas.openxmlformats.org/officeDocument/2006/relationships/hyperlink" Target="https://www.sec.gov/Archives/edgar/data/1549922/000119312520158609/d933187dex102.htm" TargetMode="External"/><Relationship Id="rId15" Type="http://schemas.openxmlformats.org/officeDocument/2006/relationships/hyperlink" Target="https://www.sec.gov/Archives/edgar/data/0001549922/000119312520158609/d933187dex103.htm" TargetMode="External"/><Relationship Id="rId16" Type="http://schemas.openxmlformats.org/officeDocument/2006/relationships/hyperlink" Target="https://www.sec.gov/Archives/edgar/data/0001549922/000119312520158609/d933187dex104.htm" TargetMode="External"/><Relationship Id="rId17" Type="http://schemas.openxmlformats.org/officeDocument/2006/relationships/hyperlink" Target="https://www.sec.gov/Archives/edgar/data/0001549922/000119312520158609/d933187dex105.htm" TargetMode="External"/><Relationship Id="rId18" Type="http://schemas.openxmlformats.org/officeDocument/2006/relationships/hyperlink" Target="https://www.sec.gov/Archives/edgar/data/0001549922/000119312520158609/d933187dex106.htm" TargetMode="External"/><Relationship Id="rId19" Type="http://schemas.openxmlformats.org/officeDocument/2006/relationships/hyperlink" Target="https://www.sec.gov/Archives/edgar/data/0001549922/000119312520158609/d933187dex107.htm" TargetMode="External"/><Relationship Id="rId20" Type="http://schemas.openxmlformats.org/officeDocument/2006/relationships/hyperlink" Target="https://www.sec.gov/Archives/edgar/data/0001549922/000119312520158609/d933187dex108.htm" TargetMode="External"/><Relationship Id="rId21" Type="http://schemas.openxmlformats.org/officeDocument/2006/relationships/hyperlink" Target="https://www.sec.gov/Archives/edgar/data/0001549922/000119312520158609/d933187dex109.htm" TargetMode="External"/><Relationship Id="rId22" Type="http://schemas.openxmlformats.org/officeDocument/2006/relationships/hyperlink" Target="https://www.sec.gov/Archives/edgar/data/0001549922/000119312520158609/d933187dex1010.htm" TargetMode="External"/><Relationship Id="rId23" Type="http://schemas.openxmlformats.org/officeDocument/2006/relationships/hyperlink" Target="https://www.sec.gov/Archives/edgar/data/1549922/000156459020038480/smlp-ex1011_238.htm" TargetMode="External"/><Relationship Id="rId24" Type="http://schemas.openxmlformats.org/officeDocument/2006/relationships/hyperlink" Target="https://www.sec.gov/Archives/edgar/data/1549922/000119312520259668/d822819dex101.htm" TargetMode="External"/><Relationship Id="rId25" Type="http://schemas.openxmlformats.org/officeDocument/2006/relationships/hyperlink" Target="https://www.sec.gov/Archives/edgar/data/1549922/000110465913049675/a13-15045_1ex1d1.htm" TargetMode="External"/><Relationship Id="rId26" Type="http://schemas.openxmlformats.org/officeDocument/2006/relationships/hyperlink" Target="https://www.sec.gov/Archives/edgar/data/1549922/000156459019004248/smlp-ex101_11.htm" TargetMode="External"/><Relationship Id="rId27" Type="http://schemas.openxmlformats.org/officeDocument/2006/relationships/hyperlink" Target="https://www.sec.gov/Archives/edgar/data/1549922/000156459019004248/smlp-ex102_9.htm" TargetMode="External"/><Relationship Id="rId28" Type="http://schemas.openxmlformats.org/officeDocument/2006/relationships/hyperlink" Target="https://www.sec.gov/Archives/edgar/data/1549922/000110465913049675/a13-15045_1ex4d1.htm" TargetMode="External"/><Relationship Id="rId29" Type="http://schemas.openxmlformats.org/officeDocument/2006/relationships/hyperlink" Target="https://www.sec.gov/Archives/edgar/data/1549922/000110465913049675/a13-15045_1ex4d2.htm" TargetMode="External"/><Relationship Id="rId30" Type="http://schemas.openxmlformats.org/officeDocument/2006/relationships/hyperlink" Target="https://www.sec.gov/Archives/edgar/data/1549922/000110465913046980/a13-14380_1ex10d2.htm" TargetMode="External"/><Relationship Id="rId31" Type="http://schemas.openxmlformats.org/officeDocument/2006/relationships/hyperlink" Target="https://www.sec.gov/Archives/edgar/data/1549922/000154992217000042/a143281ks.htm" TargetMode="External"/><Relationship Id="rId32" Type="http://schemas.openxmlformats.org/officeDocument/2006/relationships/hyperlink" Target="https://www.sec.gov/Archives/edgar/data/0001549922/000156459018003135/smlp-ex107_356.htm" TargetMode="External"/><Relationship Id="rId33" Type="http://schemas.openxmlformats.org/officeDocument/2006/relationships/hyperlink" Target="https://www.sec.gov/Archives/edgar/data/0001549922/000156459019031250/smlp-ex102_7.htm" TargetMode="External"/><Relationship Id="rId34" Type="http://schemas.openxmlformats.org/officeDocument/2006/relationships/hyperlink" Target="https://www.sec.gov/Archives/edgar/data/0001549922/000156459020009360/smlp-ex1011_356.htm" TargetMode="External"/><Relationship Id="rId35" Type="http://schemas.openxmlformats.org/officeDocument/2006/relationships/hyperlink" Target="https://www.sec.gov/Archives/edgar/data/1549922/000156459020057616/smlp-ex101_74.htm" TargetMode="External"/><Relationship Id="rId36" Type="http://schemas.openxmlformats.org/officeDocument/2006/relationships/hyperlink" Target="https://www.sec.gov/Archives/edgar/data/1549922/000156459020057616/smlp-ex101_74.htm" TargetMode="External"/><Relationship Id="rId37" Type="http://schemas.openxmlformats.org/officeDocument/2006/relationships/hyperlink" Target="https://www.sec.gov/Archives/edgar/data/1549922/000156459020057616/smlp-ex101_74.htm" TargetMode="External"/><Relationship Id="rId38" Type="http://schemas.openxmlformats.org/officeDocument/2006/relationships/hyperlink" Target="https://www.sec.gov/Archives/edgar/data/1549922/000156459020009360/smlp-ex1012_357.htm" TargetMode="External"/><Relationship Id="rId39" Type="http://schemas.openxmlformats.org/officeDocument/2006/relationships/hyperlink" Target="https://www.sec.gov/Archives/edgar/data/1549922/000154992214000024/exh1071213.htm" TargetMode="External"/><Relationship Id="rId40" Type="http://schemas.openxmlformats.org/officeDocument/2006/relationships/hyperlink" Target="https://www.sec.gov/Archives/edgar/data/1549922/000110465914051636/a14-16933_1ex4d1.htm" TargetMode="External"/><Relationship Id="rId41" Type="http://schemas.openxmlformats.org/officeDocument/2006/relationships/hyperlink" Target="https://www.sec.gov/Archives/edgar/data/1549922/000110465914051636/a14-16933_1ex4d2.htm" TargetMode="External"/><Relationship Id="rId42" Type="http://schemas.openxmlformats.org/officeDocument/2006/relationships/hyperlink" Target="https://www.sec.gov/Archives/edgar/data/1549922/000154992217000020/ex4-2.htm" TargetMode="External"/><Relationship Id="rId43" Type="http://schemas.openxmlformats.org/officeDocument/2006/relationships/hyperlink" Target="https://www.sec.gov/Archives/edgar/data/1549922/000110465915045168/a15-13975_1ex1d1.htm" TargetMode="External"/><Relationship Id="rId44" Type="http://schemas.openxmlformats.org/officeDocument/2006/relationships/hyperlink" Target="https://www.sec.gov/Archives/edgar/data/1549922/000154992216000117/smlpex101a01.htm" TargetMode="External"/><Relationship Id="rId45" Type="http://schemas.openxmlformats.org/officeDocument/2006/relationships/hyperlink" Target="https://www.sec.gov/Archives/edgar/data/1549922/000156459019004248/smlp-ex103_10.htm" TargetMode="External"/><Relationship Id="rId46" Type="http://schemas.openxmlformats.org/officeDocument/2006/relationships/hyperlink" Target="https://www.sec.gov/Archives/edgar/data/1549922/000156459019042016/smlp-ex101_131.htm" TargetMode="External"/><Relationship Id="rId47" Type="http://schemas.openxmlformats.org/officeDocument/2006/relationships/hyperlink" Target="https://www.sec.gov/Archives/edgar/data/1549922/000119312520296323/d92241dex104.htm" TargetMode="External"/><Relationship Id="rId48" Type="http://schemas.openxmlformats.org/officeDocument/2006/relationships/hyperlink" Target="https://www.sec.gov/Archives/edgar/data/1549922/000156459021025535/smlp-ex101_79.htm" TargetMode="External"/><Relationship Id="rId49" Type="http://schemas.openxmlformats.org/officeDocument/2006/relationships/hyperlink" Target="https://www.sec.gov/Archives/edgar/data/1549922/000154992221000007/jointfactualstatement.htm" TargetMode="External"/><Relationship Id="rId50" Type="http://schemas.openxmlformats.org/officeDocument/2006/relationships/hyperlink" Target="https://www.sec.gov/Archives/edgar/data/1549922/000154992221000007/criminalpleaagreement.htm" TargetMode="External"/><Relationship Id="rId51" Type="http://schemas.openxmlformats.org/officeDocument/2006/relationships/hyperlink" Target="https://www.sec.gov/Archives/edgar/data/1549922/000154992221000007/consentdecree.htm" TargetMode="External"/><Relationship Id="rId52" Type="http://schemas.openxmlformats.org/officeDocument/2006/relationships/hyperlink" Target="https://www.sec.gov/Archives/edgar/data/1549922/000154992221000010/smlp-2026notesindenture202.htm" TargetMode="External"/><Relationship Id="rId53" Type="http://schemas.openxmlformats.org/officeDocument/2006/relationships/hyperlink" Target="https://www.sec.gov/Archives/edgar/data/1549922/000154992221000010/smlp-collateralagreement20.htm" TargetMode="External"/><Relationship Id="rId54" Type="http://schemas.openxmlformats.org/officeDocument/2006/relationships/hyperlink" Target="https://www.sec.gov/Archives/edgar/data/1549922/000154992221000010/smlp-ablcreditagreement202.htm" TargetMode="External"/><Relationship Id="rId55" Type="http://schemas.openxmlformats.org/officeDocument/2006/relationships/hyperlink" Target="https://www.sec.gov/Archives/edgar/data/1549922/000154992221000010/smlp-ablcreditagreement202.htm" TargetMode="External"/><Relationship Id="rId56" Type="http://schemas.openxmlformats.org/officeDocument/2006/relationships/hyperlink" Target="https://www.sec.gov/Archives/edgar/data/1549922/000154992221000010/smlp-ablcreditagreement202.htm" TargetMode="External"/><Relationship Id="rId57" Type="http://schemas.openxmlformats.org/officeDocument/2006/relationships/hyperlink" Target="https://www.sec.gov/Archives/edgar/data/1549922/000154992221000010/smlp-intercreditoragreemen.htm" TargetMode="External"/><Relationship Id="rId58" Type="http://schemas.openxmlformats.org/officeDocument/2006/relationships/hyperlink" Target="https://www.sec.gov/Archives/edgar/data/1549922/000154992221000010/smlp-intercreditoragreemen.htm" TargetMode="External"/><Relationship Id="rId59" Type="http://schemas.openxmlformats.org/officeDocument/2006/relationships/hyperlink" Target="https://www.sec.gov/Archives/edgar/data/1549922/000154992221000010/smlp-intercreditoragreemen.htm" TargetMode="External"/><Relationship Id="rId60" Type="http://schemas.openxmlformats.org/officeDocument/2006/relationships/hyperlink" Target="https://www.sec.gov/Archives/edgar/data/1549922/000156459019004248/smlp-ex104_8.htm" TargetMode="External"/><Relationship Id="rId61" Type="http://schemas.openxmlformats.org/officeDocument/2006/relationships/hyperlink" Target="https://www.sec.gov/Archives/edgar/data/1549922/000156459021011012/smlp-ex1041_764.htm" TargetMode="External"/><Relationship Id="rId62" Type="http://schemas.openxmlformats.org/officeDocument/2006/relationships/hyperlink" Target="https://www.sec.gov/Archives/edgar/data/1549922/000156459021011012/smlp-ex1041_764.htm" TargetMode="External"/><Relationship Id="rId63" Type="http://schemas.openxmlformats.org/officeDocument/2006/relationships/hyperlink" Target="https://www.sec.gov/Archives/edgar/data/1549922/000156459021011012/smlp-ex1041_764.htm" TargetMode="External"/><Relationship Id="rId64" Type="http://schemas.openxmlformats.org/officeDocument/2006/relationships/hyperlink" Target="https://www.sec.gov/Archives/edgar/data/1549922/000156459021011012/smlp-ex1041_764.htm" TargetMode="External"/><Relationship Id="rId65" Type="http://schemas.openxmlformats.org/officeDocument/2006/relationships/hyperlink" Target="https://www.sec.gov/Archives/edgar/data/1549922/000156459019022240/smlp-ex101_7.htm" TargetMode="External"/><Relationship Id="rId66" Type="http://schemas.openxmlformats.org/officeDocument/2006/relationships/hyperlink" Target="https://www.sec.gov/Archives/edgar/data/1549922/000156459019031294/smlp-ex101_7.htm" TargetMode="External"/><Relationship Id="rId67" Type="http://schemas.openxmlformats.org/officeDocument/2006/relationships/hyperlink" Target="https://www.sec.gov/Archives/edgar/data/1549922/000156459020051994/smlp-ex104_80.htm" TargetMode="External"/><Relationship Id="rId68" Type="http://schemas.openxmlformats.org/officeDocument/2006/relationships/hyperlink" Target="https://www.sec.gov/Archives/edgar/data/1549922/000156459020012024/smlp-ex101_6.htm" TargetMode="External"/><Relationship Id="rId69" Type="http://schemas.openxmlformats.org/officeDocument/2006/relationships/hyperlink" Target="https://www.sec.gov/Archives/edgar/data/1549922/000154992214000028/ex101formofsltagmt.htm" TargetMode="External"/><Relationship Id="rId70" Type="http://schemas.openxmlformats.org/officeDocument/2006/relationships/hyperlink" Target="https://www.sec.gov/Archives/edgar/data/1549922/000110465912067606/a12-22459_2ex10d3.htm" TargetMode="External"/><Relationship Id="rId71" Type="http://schemas.openxmlformats.org/officeDocument/2006/relationships/hyperlink" Target="https://www.sec.gov/Archives/edgar/data/1549922/000154992213000021/ex43-smlpxdcplan.htm" TargetMode="External"/><Relationship Id="rId72" Type="http://schemas.openxmlformats.org/officeDocument/2006/relationships/hyperlink" Target="https://www.sec.gov/Archives/edgar/data/1549922/000119312520213741/d22126dex211.htm" TargetMode="External"/><Relationship Id="rId73" Type="http://schemas.openxmlformats.org/officeDocument/2006/relationships/hyperlink" Target="https://www.sec.gov/Archives/edgar/data/1549922/000156459020023634/smlp-ex221_116.htm" TargetMode="External"/><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87272</Words>
  <CharactersWithSpaces>569256</CharactersWithSpaces>
  <Paragraphs>5045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