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91" w:lineRule="exact"/>
        <w:rPr>
          <w:sz w:val="24"/>
          <w:szCs w:val="24"/>
          <w:color w:val="auto"/>
        </w:rPr>
      </w:pPr>
    </w:p>
    <w:p>
      <w:pPr>
        <w:ind w:left="4320"/>
        <w:spacing w:after="0"/>
        <w:tabs>
          <w:tab w:leader="none" w:pos="66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Commission file number: 001-35666</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96" w:lineRule="exact"/>
        <w:rPr>
          <w:sz w:val="24"/>
          <w:szCs w:val="24"/>
          <w:color w:val="auto"/>
        </w:rPr>
      </w:pPr>
    </w:p>
    <w:tbl>
      <w:tblPr>
        <w:tblLayout w:type="fixed"/>
        <w:tblInd w:w="1380" w:type="dxa"/>
        <w:tblCellMar>
          <w:top w:w="0" w:type="dxa"/>
          <w:left w:w="0" w:type="dxa"/>
          <w:bottom w:w="0" w:type="dxa"/>
          <w:right w:w="0" w:type="dxa"/>
        </w:tblCellMar>
      </w:tblPr>
      <w:tr>
        <w:trPr>
          <w:trHeight w:val="219"/>
        </w:trPr>
        <w:tc>
          <w:tcPr>
            <w:tcW w:w="6420" w:type="dxa"/>
            <w:vAlign w:val="bottom"/>
          </w:tcPr>
          <w:p>
            <w:pPr>
              <w:jc w:val="center"/>
              <w:ind w:left="2159"/>
              <w:spacing w:after="0"/>
              <w:rPr>
                <w:sz w:val="20"/>
                <w:szCs w:val="20"/>
                <w:color w:val="auto"/>
              </w:rPr>
            </w:pPr>
            <w:r>
              <w:rPr>
                <w:rFonts w:ascii="Arial" w:cs="Arial" w:eastAsia="Arial" w:hAnsi="Arial"/>
                <w:sz w:val="16"/>
                <w:szCs w:val="16"/>
                <w:color w:val="auto"/>
              </w:rPr>
              <w:t>(Exact name of registrant as specified in its charter)</w:t>
            </w:r>
          </w:p>
        </w:tc>
        <w:tc>
          <w:tcPr>
            <w:tcW w:w="1460" w:type="dxa"/>
            <w:vAlign w:val="bottom"/>
          </w:tcPr>
          <w:p>
            <w:pPr>
              <w:spacing w:after="0"/>
              <w:rPr>
                <w:sz w:val="19"/>
                <w:szCs w:val="19"/>
                <w:color w:val="auto"/>
              </w:rPr>
            </w:pPr>
          </w:p>
        </w:tc>
      </w:tr>
      <w:tr>
        <w:trPr>
          <w:trHeight w:val="241"/>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w w:val="99"/>
              </w:rPr>
              <w:t>Delaware</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(I.R.S. Employer</w:t>
            </w:r>
          </w:p>
        </w:tc>
      </w:tr>
      <w:tr>
        <w:trPr>
          <w:trHeight w:val="21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Identification No.)</w:t>
            </w:r>
          </w:p>
        </w:tc>
      </w:tr>
      <w:tr>
        <w:trPr>
          <w:trHeight w:val="239"/>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1790 Hughes Landing Blvd, Suite 500</w:t>
            </w:r>
          </w:p>
        </w:tc>
        <w:tc>
          <w:tcPr>
            <w:tcW w:w="1460" w:type="dxa"/>
            <w:vAlign w:val="bottom"/>
          </w:tcPr>
          <w:p>
            <w:pPr>
              <w:spacing w:after="0"/>
              <w:rPr>
                <w:sz w:val="20"/>
                <w:szCs w:val="20"/>
                <w:color w:val="auto"/>
              </w:rPr>
            </w:pPr>
          </w:p>
        </w:tc>
      </w:tr>
      <w:tr>
        <w:trPr>
          <w:trHeight w:val="191"/>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The Woodlands, TX</w:t>
            </w: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77380</w:t>
            </w:r>
          </w:p>
        </w:tc>
      </w:tr>
      <w:tr>
        <w:trPr>
          <w:trHeight w:val="21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41"/>
        </w:trPr>
        <w:tc>
          <w:tcPr>
            <w:tcW w:w="6420" w:type="dxa"/>
            <w:vAlign w:val="bottom"/>
          </w:tcPr>
          <w:p>
            <w:pPr>
              <w:jc w:val="center"/>
              <w:ind w:left="2159"/>
              <w:spacing w:after="0"/>
              <w:rPr>
                <w:sz w:val="20"/>
                <w:szCs w:val="20"/>
                <w:color w:val="auto"/>
              </w:rPr>
            </w:pPr>
            <w:r>
              <w:rPr>
                <w:rFonts w:ascii="Arial" w:cs="Arial" w:eastAsia="Arial" w:hAnsi="Arial"/>
                <w:sz w:val="16"/>
                <w:szCs w:val="16"/>
                <w:b w:val="1"/>
                <w:bCs w:val="1"/>
                <w:color w:val="auto"/>
              </w:rPr>
              <w:t>(832) 413-4770</w:t>
            </w:r>
          </w:p>
        </w:tc>
        <w:tc>
          <w:tcPr>
            <w:tcW w:w="1460" w:type="dxa"/>
            <w:vAlign w:val="bottom"/>
          </w:tcPr>
          <w:p>
            <w:pPr>
              <w:spacing w:after="0"/>
              <w:rPr>
                <w:sz w:val="20"/>
                <w:szCs w:val="20"/>
                <w:color w:val="auto"/>
              </w:rPr>
            </w:pPr>
          </w:p>
        </w:tc>
      </w:tr>
      <w:tr>
        <w:trPr>
          <w:trHeight w:val="219"/>
        </w:trPr>
        <w:tc>
          <w:tcPr>
            <w:tcW w:w="6420" w:type="dxa"/>
            <w:vAlign w:val="bottom"/>
          </w:tcPr>
          <w:p>
            <w:pPr>
              <w:jc w:val="center"/>
              <w:ind w:left="2179"/>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9"/>
                <w:szCs w:val="19"/>
                <w:color w:val="auto"/>
              </w:rPr>
            </w:pP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8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SMLP</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4" w:lineRule="exact"/>
        <w:rPr>
          <w:sz w:val="24"/>
          <w:szCs w:val="24"/>
          <w:color w:val="auto"/>
        </w:rPr>
      </w:pPr>
    </w:p>
    <w:p>
      <w:pPr>
        <w:jc w:val="both"/>
        <w:ind w:right="14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9" w:lineRule="exact"/>
        <w:rPr>
          <w:sz w:val="24"/>
          <w:szCs w:val="24"/>
          <w:color w:val="auto"/>
        </w:rPr>
      </w:pPr>
    </w:p>
    <w:p>
      <w:pPr>
        <w:ind w:right="400"/>
        <w:spacing w:after="0" w:line="27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420" w:hanging="412"/>
        <w:spacing w:after="0" w:line="184" w:lineRule="exact"/>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8"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11" w:right="239" w:bottom="1440" w:gutter="0" w:footer="0" w:header="0"/>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7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580" w:space="720"/>
            <w:col w:w="2120"/>
          </w:cols>
          <w:pgMar w:left="240" w:top="211"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11" w:right="239" w:bottom="1440" w:gutter="0" w:footer="0" w:header="0"/>
          <w:type w:val="continuous"/>
        </w:sectPr>
      </w:pPr>
    </w:p>
    <w:p>
      <w:pPr>
        <w:spacing w:after="0" w:line="70"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tabs>
          <w:tab w:leader="none" w:pos="8480" w:val="left"/>
          <w:tab w:leader="none" w:pos="9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40" w:type="dxa"/>
            <w:vAlign w:val="bottom"/>
          </w:tcPr>
          <w:p>
            <w:pPr>
              <w:spacing w:after="0"/>
              <w:rPr>
                <w:sz w:val="15"/>
                <w:szCs w:val="15"/>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October 31, 2019</w:t>
            </w:r>
          </w:p>
        </w:tc>
      </w:tr>
      <w:tr>
        <w:trPr>
          <w:trHeight w:val="221"/>
        </w:trPr>
        <w:tc>
          <w:tcPr>
            <w:tcW w:w="6740" w:type="dxa"/>
            <w:vAlign w:val="bottom"/>
            <w:gridSpan w:val="2"/>
          </w:tcPr>
          <w:p>
            <w:pPr>
              <w:jc w:val="center"/>
              <w:ind w:right="2040"/>
              <w:spacing w:after="0"/>
              <w:rPr>
                <w:sz w:val="20"/>
                <w:szCs w:val="20"/>
                <w:color w:val="auto"/>
              </w:rPr>
            </w:pPr>
            <w:r>
              <w:rPr>
                <w:rFonts w:ascii="Arial" w:cs="Arial" w:eastAsia="Arial" w:hAnsi="Arial"/>
                <w:sz w:val="16"/>
                <w:szCs w:val="16"/>
                <w:color w:val="auto"/>
              </w:rPr>
              <w:t>Common Units</w:t>
            </w:r>
          </w:p>
        </w:tc>
        <w:tc>
          <w:tcPr>
            <w:tcW w:w="4680" w:type="dxa"/>
            <w:vAlign w:val="bottom"/>
          </w:tcPr>
          <w:p>
            <w:pPr>
              <w:jc w:val="center"/>
              <w:spacing w:after="0"/>
              <w:rPr>
                <w:sz w:val="20"/>
                <w:szCs w:val="20"/>
                <w:color w:val="auto"/>
              </w:rPr>
            </w:pPr>
            <w:r>
              <w:rPr>
                <w:rFonts w:ascii="Arial" w:cs="Arial" w:eastAsia="Arial" w:hAnsi="Arial"/>
                <w:sz w:val="16"/>
                <w:szCs w:val="16"/>
                <w:color w:val="auto"/>
              </w:rPr>
              <w:t>82,749,521 units</w:t>
            </w:r>
          </w:p>
        </w:tc>
      </w:tr>
      <w:tr>
        <w:trPr>
          <w:trHeight w:val="590"/>
        </w:trPr>
        <w:tc>
          <w:tcPr>
            <w:tcW w:w="4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960" w:type="dxa"/>
            <w:vAlign w:val="bottom"/>
            <w:gridSpan w:val="24"/>
            <w:shd w:val="clear" w:color="auto" w:fill="CCEEFF"/>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COMMONLY USED OR DEFINED TERMS</w:t>
              </w:r>
            </w:hyperlink>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5"/>
                <w:szCs w:val="15"/>
                <w:color w:val="auto"/>
              </w:rPr>
            </w:pPr>
          </w:p>
        </w:tc>
        <w:tc>
          <w:tcPr>
            <w:tcW w:w="174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Statements.</w:t>
              </w:r>
            </w:hyperlink>
          </w:p>
        </w:tc>
        <w:tc>
          <w:tcPr>
            <w:tcW w:w="8160" w:type="dxa"/>
            <w:vAlign w:val="bottom"/>
            <w:gridSpan w:val="12"/>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83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Consolidated Balance Sheets as of September 30, 2019 and December 31, 2018</w:t>
              </w:r>
            </w:hyperlink>
          </w:p>
        </w:tc>
        <w:tc>
          <w:tcPr>
            <w:tcW w:w="1580" w:type="dxa"/>
            <w:vAlign w:val="bottom"/>
            <w:tcBorders>
              <w:bottom w:val="single" w:sz="8" w:color="CCEEFF"/>
            </w:tcBorders>
            <w:gridSpan w:val="4"/>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gridSpan w:val="2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Operations for the three and nine months ended September 30, 2019</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2018</w:t>
              </w:r>
            </w:hyperlink>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Partners' Capital for the three and nine months ended September 30,</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0000EE"/>
              <w:bottom w:val="single" w:sz="8" w:color="CCEEFF"/>
            </w:tcBorders>
            <w:shd w:val="clear" w:color="auto" w:fill="CCEEFF"/>
          </w:tcPr>
          <w:p>
            <w:pPr>
              <w:spacing w:after="0"/>
              <w:rPr>
                <w:sz w:val="16"/>
                <w:szCs w:val="16"/>
                <w:color w:val="auto"/>
              </w:rPr>
            </w:pPr>
          </w:p>
        </w:tc>
        <w:tc>
          <w:tcPr>
            <w:tcW w:w="100" w:type="dxa"/>
            <w:vAlign w:val="bottom"/>
            <w:tcBorders>
              <w:top w:val="single" w:sz="8" w:color="0000EE"/>
              <w:bottom w:val="single" w:sz="8" w:color="CCEEFF"/>
            </w:tcBorders>
            <w:shd w:val="clear" w:color="auto" w:fill="CCEEFF"/>
          </w:tcPr>
          <w:p>
            <w:pPr>
              <w:spacing w:after="0"/>
              <w:rPr>
                <w:sz w:val="16"/>
                <w:szCs w:val="16"/>
                <w:color w:val="auto"/>
              </w:rPr>
            </w:pPr>
          </w:p>
        </w:tc>
        <w:tc>
          <w:tcPr>
            <w:tcW w:w="1200" w:type="dxa"/>
            <w:vAlign w:val="bottom"/>
            <w:tcBorders>
              <w:top w:val="single" w:sz="8" w:color="0000EE"/>
              <w:bottom w:val="single" w:sz="8" w:color="0000EE"/>
            </w:tcBorders>
            <w:gridSpan w:val="4"/>
            <w:shd w:val="clear" w:color="auto" w:fill="CCEEFF"/>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2019 and 2018</w:t>
              </w:r>
            </w:hyperlink>
          </w:p>
        </w:tc>
        <w:tc>
          <w:tcPr>
            <w:tcW w:w="8240" w:type="dxa"/>
            <w:vAlign w:val="bottom"/>
            <w:tcBorders>
              <w:top w:val="single" w:sz="8" w:color="0000EE"/>
              <w:bottom w:val="single" w:sz="8" w:color="CCEEFF"/>
            </w:tcBorders>
            <w:gridSpan w:val="11"/>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gridSpan w:val="20"/>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Condensed Consolidated Statements of Cash Flows for the nine months ended September 30, 2019 and 2018</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5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Notes to Unaudited Condensed Consolidated Financial Statements</w:t>
              </w:r>
            </w:hyperlink>
          </w:p>
        </w:tc>
        <w:tc>
          <w:tcPr>
            <w:tcW w:w="4540" w:type="dxa"/>
            <w:vAlign w:val="bottom"/>
            <w:tcBorders>
              <w:bottom w:val="single" w:sz="8" w:color="CCEEFF"/>
            </w:tcBorders>
            <w:gridSpan w:val="6"/>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5"/>
                <w:szCs w:val="15"/>
                <w:color w:val="auto"/>
              </w:rPr>
            </w:pPr>
          </w:p>
        </w:tc>
        <w:tc>
          <w:tcPr>
            <w:tcW w:w="7140" w:type="dxa"/>
            <w:vAlign w:val="bottom"/>
            <w:tcBorders>
              <w:bottom w:val="single" w:sz="8" w:color="0000EE"/>
            </w:tcBorders>
            <w:gridSpan w:val="15"/>
          </w:tcPr>
          <w:p>
            <w:pPr>
              <w:spacing w:after="0" w:line="17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Management’s Discussion and Analysis of Financial Condition and Results of Operations.</w:t>
              </w:r>
            </w:hyperlink>
          </w:p>
        </w:tc>
        <w:tc>
          <w:tcPr>
            <w:tcW w:w="2760" w:type="dxa"/>
            <w:vAlign w:val="bottom"/>
            <w:gridSpan w:val="5"/>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3.</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47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Quantitative and Qualitative Disclosures about Market Risk.</w:t>
              </w:r>
            </w:hyperlink>
          </w:p>
        </w:tc>
        <w:tc>
          <w:tcPr>
            <w:tcW w:w="5140" w:type="dxa"/>
            <w:vAlign w:val="bottom"/>
            <w:tcBorders>
              <w:bottom w:val="single" w:sz="8" w:color="CCEEFF"/>
            </w:tcBorders>
            <w:gridSpan w:val="7"/>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5"/>
                <w:szCs w:val="15"/>
                <w:color w:val="auto"/>
              </w:rPr>
            </w:pPr>
          </w:p>
        </w:tc>
        <w:tc>
          <w:tcPr>
            <w:tcW w:w="9900" w:type="dxa"/>
            <w:vAlign w:val="bottom"/>
            <w:gridSpan w:val="20"/>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4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3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PART II</w:t>
              </w:r>
            </w:hyperlink>
          </w:p>
        </w:tc>
        <w:tc>
          <w:tcPr>
            <w:tcW w:w="10100" w:type="dxa"/>
            <w:vAlign w:val="bottom"/>
            <w:gridSpan w:val="21"/>
          </w:tcPr>
          <w:p>
            <w:pPr>
              <w:ind w:left="1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top w:val="single" w:sz="8" w:color="CCEEFF"/>
            </w:tcBorders>
            <w:gridSpan w:val="3"/>
          </w:tcPr>
          <w:p>
            <w:pPr>
              <w:ind w:left="20"/>
              <w:spacing w:after="0" w:line="176" w:lineRule="exact"/>
              <w:rPr>
                <w:sz w:val="20"/>
                <w:szCs w:val="20"/>
                <w:color w:val="auto"/>
              </w:rPr>
            </w:pPr>
            <w:r>
              <w:rPr>
                <w:rFonts w:ascii="Arial" w:cs="Arial" w:eastAsia="Arial" w:hAnsi="Arial"/>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5"/>
                <w:szCs w:val="15"/>
                <w:color w:val="auto"/>
              </w:rPr>
            </w:pPr>
          </w:p>
        </w:tc>
        <w:tc>
          <w:tcPr>
            <w:tcW w:w="8380" w:type="dxa"/>
            <w:vAlign w:val="bottom"/>
            <w:tcBorders>
              <w:top w:val="single" w:sz="8" w:color="CCEEFF"/>
            </w:tcBorders>
            <w:gridSpan w:val="13"/>
          </w:tcPr>
          <w:p>
            <w:pPr>
              <w:spacing w:after="0"/>
              <w:rPr>
                <w:sz w:val="15"/>
                <w:szCs w:val="15"/>
                <w:color w:val="auto"/>
              </w:rPr>
            </w:pPr>
          </w:p>
        </w:tc>
        <w:tc>
          <w:tcPr>
            <w:tcW w:w="4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6.</w:t>
            </w:r>
          </w:p>
        </w:tc>
        <w:tc>
          <w:tcPr>
            <w:tcW w:w="10100" w:type="dxa"/>
            <w:vAlign w:val="bottom"/>
            <w:gridSpan w:val="21"/>
            <w:shd w:val="clear" w:color="auto" w:fill="CCEEFF"/>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gridSpan w:val="2"/>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960" w:type="dxa"/>
            <w:vAlign w:val="bottom"/>
            <w:gridSpan w:val="24"/>
            <w:shd w:val="clear" w:color="auto" w:fill="CFF0FC"/>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44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3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6"/>
        </w:trPr>
        <w:tc>
          <w:tcPr>
            <w:tcW w:w="268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Arial" w:cs="Arial" w:eastAsia="Arial" w:hAnsi="Arial"/>
                <w:sz w:val="22"/>
                <w:szCs w:val="22"/>
                <w:b w:val="1"/>
                <w:bCs w:val="1"/>
                <w:color w:val="auto"/>
              </w:rPr>
              <w:t>COMMONLY USED OR DEFINED TERMS</w:t>
            </w:r>
          </w:p>
        </w:tc>
      </w:tr>
      <w:tr>
        <w:trPr>
          <w:trHeight w:val="217"/>
        </w:trPr>
        <w:tc>
          <w:tcPr>
            <w:tcW w:w="2680" w:type="dxa"/>
            <w:vAlign w:val="bottom"/>
          </w:tcPr>
          <w:p>
            <w:pPr>
              <w:spacing w:after="0"/>
              <w:rPr>
                <w:sz w:val="18"/>
                <w:szCs w:val="18"/>
                <w:color w:val="auto"/>
              </w:rPr>
            </w:pPr>
          </w:p>
        </w:tc>
        <w:tc>
          <w:tcPr>
            <w:tcW w:w="8740" w:type="dxa"/>
            <w:vAlign w:val="bottom"/>
          </w:tcPr>
          <w:p>
            <w:pPr>
              <w:spacing w:after="0"/>
              <w:rPr>
                <w:sz w:val="18"/>
                <w:szCs w:val="18"/>
                <w:color w:val="auto"/>
              </w:rPr>
            </w:pP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2016 Drop Down</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ownership interest in Ohio Gathering</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5.5% Senior Notes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Summit Holdings' and Finance Corp.’s 5.5% senior unsecured notes due August</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2022</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5.75% Senior Notes</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associated natural gas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Bbl</w:t>
            </w:r>
          </w:p>
        </w:tc>
        <w:tc>
          <w:tcPr>
            <w:tcW w:w="8740" w:type="dxa"/>
            <w:vAlign w:val="bottom"/>
          </w:tcPr>
          <w:p>
            <w:pPr>
              <w:ind w:left="32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billion cubic feet</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Bison Midstream,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board of directors of our General Partner</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condensate</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pentane and heavier hydrocarbon fractions</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Deferred Purchase Price</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the deferred payment liability recognized in connection with the 2016 Drop Down;</w:t>
            </w:r>
          </w:p>
        </w:tc>
      </w:tr>
      <w:tr>
        <w:trPr>
          <w:trHeight w:val="225"/>
        </w:trPr>
        <w:tc>
          <w:tcPr>
            <w:tcW w:w="26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Obligation</w:t>
            </w: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also referred to as DPPO</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Denver-Julesburg Basin</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740" w:type="dxa"/>
            <w:vAlign w:val="bottom"/>
          </w:tcPr>
          <w:p>
            <w:pPr>
              <w:ind w:left="320"/>
              <w:spacing w:after="0"/>
              <w:rPr>
                <w:sz w:val="20"/>
                <w:szCs w:val="20"/>
                <w:color w:val="auto"/>
              </w:rPr>
            </w:pPr>
            <w:r>
              <w:rPr>
                <w:rFonts w:ascii="Arial" w:cs="Arial" w:eastAsia="Arial" w:hAnsi="Arial"/>
                <w:sz w:val="18"/>
                <w:szCs w:val="18"/>
                <w:color w:val="auto"/>
              </w:rPr>
              <w:t>Double E Pipeline, LLC</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dry gas</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either do not exist or have been removed through processing or treating</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Energy Capital Partners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as the Sponsor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Epping</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EPU</w:t>
            </w:r>
          </w:p>
        </w:tc>
        <w:tc>
          <w:tcPr>
            <w:tcW w:w="8740" w:type="dxa"/>
            <w:vAlign w:val="bottom"/>
          </w:tcPr>
          <w:p>
            <w:pPr>
              <w:ind w:left="320"/>
              <w:spacing w:after="0"/>
              <w:rPr>
                <w:sz w:val="20"/>
                <w:szCs w:val="20"/>
                <w:color w:val="auto"/>
              </w:rPr>
            </w:pPr>
            <w:r>
              <w:rPr>
                <w:rFonts w:ascii="Arial" w:cs="Arial" w:eastAsia="Arial" w:hAnsi="Arial"/>
                <w:sz w:val="18"/>
                <w:szCs w:val="18"/>
                <w:color w:val="auto"/>
              </w:rPr>
              <w:t>earnings or loss per unit</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Equity Restructuring</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a series of transactions consummated on March 22, 2019, pursuant to which the</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Partnership cancelled its IDRs and converted its 2% economic GP interest</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to a non-economic GP interest in exchange for 8,750,000 SMLP common</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units, which were issued to SMP Holdings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FASB</w:t>
            </w:r>
          </w:p>
        </w:tc>
        <w:tc>
          <w:tcPr>
            <w:tcW w:w="874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GAAP</w:t>
            </w:r>
          </w:p>
        </w:tc>
        <w:tc>
          <w:tcPr>
            <w:tcW w:w="8740" w:type="dxa"/>
            <w:vAlign w:val="bottom"/>
          </w:tcPr>
          <w:p>
            <w:pPr>
              <w:ind w:left="3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GP</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general partner</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General Partner</w:t>
            </w:r>
          </w:p>
        </w:tc>
        <w:tc>
          <w:tcPr>
            <w:tcW w:w="8740" w:type="dxa"/>
            <w:vAlign w:val="bottom"/>
          </w:tcPr>
          <w:p>
            <w:pPr>
              <w:ind w:left="320"/>
              <w:spacing w:after="0"/>
              <w:rPr>
                <w:sz w:val="20"/>
                <w:szCs w:val="20"/>
                <w:color w:val="auto"/>
              </w:rPr>
            </w:pPr>
            <w:r>
              <w:rPr>
                <w:rFonts w:ascii="Arial" w:cs="Arial" w:eastAsia="Arial" w:hAnsi="Arial"/>
                <w:sz w:val="18"/>
                <w:szCs w:val="18"/>
                <w:color w:val="auto"/>
              </w:rPr>
              <w:t>Summit Midstream GP, LLC</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Guarantor Subsidiaries</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Bison Midstream and its subsidiaries, Grand River and its subsidiary, DFW</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Midstream, Summit Marketing, Summit Permian, Permian Finance, Summit</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Niobrara, OpCo, Summit Utica, Meadowlark Midstream, Summit Permian II,</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Summit Permian Transmission and Mountaineer Midstream</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Grand River</w:t>
            </w:r>
          </w:p>
        </w:tc>
        <w:tc>
          <w:tcPr>
            <w:tcW w:w="8740" w:type="dxa"/>
            <w:vAlign w:val="bottom"/>
          </w:tcPr>
          <w:p>
            <w:pPr>
              <w:ind w:left="320"/>
              <w:spacing w:after="0"/>
              <w:rPr>
                <w:sz w:val="20"/>
                <w:szCs w:val="20"/>
                <w:color w:val="auto"/>
              </w:rPr>
            </w:pPr>
            <w:r>
              <w:rPr>
                <w:rFonts w:ascii="Arial" w:cs="Arial" w:eastAsia="Arial" w:hAnsi="Arial"/>
                <w:sz w:val="18"/>
                <w:szCs w:val="18"/>
                <w:color w:val="auto"/>
              </w:rPr>
              <w:t>Grand River Gathering,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IDR</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incentive distribution rights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LIBOR</w:t>
            </w:r>
          </w:p>
        </w:tc>
        <w:tc>
          <w:tcPr>
            <w:tcW w:w="8740" w:type="dxa"/>
            <w:vAlign w:val="bottom"/>
          </w:tcPr>
          <w:p>
            <w:pPr>
              <w:ind w:left="32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thousand barrels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Mbbl/d</w:t>
            </w:r>
          </w:p>
        </w:tc>
        <w:tc>
          <w:tcPr>
            <w:tcW w:w="8740" w:type="dxa"/>
            <w:vAlign w:val="bottom"/>
          </w:tcPr>
          <w:p>
            <w:pPr>
              <w:ind w:left="32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Mcf</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thousand cubic feet</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MD&amp;A</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Operations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MMcf</w:t>
            </w:r>
          </w:p>
        </w:tc>
        <w:tc>
          <w:tcPr>
            <w:tcW w:w="8740" w:type="dxa"/>
            <w:vAlign w:val="bottom"/>
          </w:tcPr>
          <w:p>
            <w:pPr>
              <w:ind w:left="320"/>
              <w:spacing w:after="0"/>
              <w:rPr>
                <w:sz w:val="20"/>
                <w:szCs w:val="20"/>
                <w:color w:val="auto"/>
              </w:rPr>
            </w:pPr>
            <w:r>
              <w:rPr>
                <w:rFonts w:ascii="Arial" w:cs="Arial" w:eastAsia="Arial" w:hAnsi="Arial"/>
                <w:sz w:val="18"/>
                <w:szCs w:val="18"/>
                <w:color w:val="auto"/>
              </w:rPr>
              <w:t>one million cubic feet</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Mountaineer Midstream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minimum volume commitment</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NGLs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natural gas liquids; the combination of ethane, propane, normal butane, iso-butane</w:t>
            </w:r>
          </w:p>
        </w:tc>
      </w:tr>
      <w:tr>
        <w:trPr>
          <w:trHeight w:val="203"/>
        </w:trPr>
        <w:tc>
          <w:tcPr>
            <w:tcW w:w="2680" w:type="dxa"/>
            <w:vAlign w:val="bottom"/>
          </w:tcPr>
          <w:p>
            <w:pPr>
              <w:spacing w:after="0"/>
              <w:rPr>
                <w:sz w:val="17"/>
                <w:szCs w:val="17"/>
                <w:color w:val="auto"/>
              </w:rPr>
            </w:pPr>
          </w:p>
        </w:tc>
        <w:tc>
          <w:tcPr>
            <w:tcW w:w="8740" w:type="dxa"/>
            <w:vAlign w:val="bottom"/>
          </w:tcPr>
          <w:p>
            <w:pPr>
              <w:ind w:left="520"/>
              <w:spacing w:after="0" w:line="202" w:lineRule="exact"/>
              <w:rPr>
                <w:sz w:val="20"/>
                <w:szCs w:val="20"/>
                <w:color w:val="auto"/>
              </w:rPr>
            </w:pPr>
            <w:r>
              <w:rPr>
                <w:rFonts w:ascii="Arial" w:cs="Arial" w:eastAsia="Arial" w:hAnsi="Arial"/>
                <w:sz w:val="18"/>
                <w:szCs w:val="18"/>
                <w:color w:val="auto"/>
              </w:rPr>
              <w:t>and natural gasolines that when removed from unprocessed natural gas streams</w:t>
            </w:r>
          </w:p>
        </w:tc>
      </w:tr>
      <w:tr>
        <w:trPr>
          <w:trHeight w:val="243"/>
        </w:trPr>
        <w:tc>
          <w:tcPr>
            <w:tcW w:w="2680" w:type="dxa"/>
            <w:vAlign w:val="bottom"/>
          </w:tcPr>
          <w:p>
            <w:pPr>
              <w:spacing w:after="0"/>
              <w:rPr>
                <w:sz w:val="21"/>
                <w:szCs w:val="21"/>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become liquid under various levels of higher pressure and lower temperature</w:t>
            </w:r>
          </w:p>
        </w:tc>
      </w:tr>
      <w:tr>
        <w:trPr>
          <w:trHeight w:val="419"/>
        </w:trPr>
        <w:tc>
          <w:tcPr>
            <w:tcW w:w="2680" w:type="dxa"/>
            <w:vAlign w:val="bottom"/>
          </w:tcPr>
          <w:p>
            <w:pPr>
              <w:spacing w:after="0"/>
              <w:rPr>
                <w:sz w:val="24"/>
                <w:szCs w:val="24"/>
                <w:color w:val="auto"/>
              </w:rPr>
            </w:pPr>
          </w:p>
        </w:tc>
        <w:tc>
          <w:tcPr>
            <w:tcW w:w="8740" w:type="dxa"/>
            <w:vAlign w:val="bottom"/>
          </w:tcPr>
          <w:p>
            <w:pPr>
              <w:ind w:left="2980"/>
              <w:spacing w:after="0"/>
              <w:rPr>
                <w:sz w:val="20"/>
                <w:szCs w:val="20"/>
                <w:color w:val="auto"/>
              </w:rPr>
            </w:pPr>
            <w:r>
              <w:rPr>
                <w:rFonts w:ascii="Arial" w:cs="Arial" w:eastAsia="Arial" w:hAnsi="Arial"/>
                <w:sz w:val="18"/>
                <w:szCs w:val="18"/>
                <w:color w:val="auto"/>
              </w:rPr>
              <w:t>2</w:t>
            </w:r>
          </w:p>
        </w:tc>
      </w:tr>
      <w:tr>
        <w:trPr>
          <w:trHeight w:val="98"/>
        </w:trPr>
        <w:tc>
          <w:tcPr>
            <w:tcW w:w="2680" w:type="dxa"/>
            <w:vAlign w:val="bottom"/>
            <w:tcBorders>
              <w:bottom w:val="single" w:sz="8" w:color="9A9A9A"/>
            </w:tcBorders>
          </w:tcPr>
          <w:p>
            <w:pPr>
              <w:spacing w:after="0"/>
              <w:rPr>
                <w:sz w:val="8"/>
                <w:szCs w:val="8"/>
                <w:color w:val="auto"/>
              </w:rPr>
            </w:pPr>
          </w:p>
        </w:tc>
        <w:tc>
          <w:tcPr>
            <w:tcW w:w="8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Niobrara Gathering and Processing system</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OCC</w:t>
            </w:r>
          </w:p>
        </w:tc>
        <w:tc>
          <w:tcPr>
            <w:tcW w:w="8720" w:type="dxa"/>
            <w:vAlign w:val="bottom"/>
          </w:tcPr>
          <w:p>
            <w:pPr>
              <w:ind w:left="300"/>
              <w:spacing w:after="0"/>
              <w:rPr>
                <w:sz w:val="20"/>
                <w:szCs w:val="20"/>
                <w:color w:val="auto"/>
              </w:rPr>
            </w:pPr>
            <w:r>
              <w:rPr>
                <w:rFonts w:ascii="Arial" w:cs="Arial" w:eastAsia="Arial" w:hAnsi="Arial"/>
                <w:sz w:val="18"/>
                <w:szCs w:val="18"/>
                <w:color w:val="auto"/>
              </w:rPr>
              <w:t>Ohio Condensate Company,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720" w:type="dxa"/>
            <w:vAlign w:val="bottom"/>
          </w:tcPr>
          <w:p>
            <w:pPr>
              <w:ind w:left="30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OpCo, LP</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play</w:t>
            </w:r>
          </w:p>
        </w:tc>
        <w:tc>
          <w:tcPr>
            <w:tcW w:w="8720" w:type="dxa"/>
            <w:vAlign w:val="bottom"/>
          </w:tcPr>
          <w:p>
            <w:pPr>
              <w:ind w:left="30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Polar and Divide</w:t>
            </w:r>
          </w:p>
        </w:tc>
        <w:tc>
          <w:tcPr>
            <w:tcW w:w="8720" w:type="dxa"/>
            <w:vAlign w:val="bottom"/>
          </w:tcPr>
          <w:p>
            <w:pPr>
              <w:ind w:left="30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Midstream</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Polar Midstream,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produced water</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crude oil production</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Project</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 various delivery points in and around the Waha hub in Texas</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Red Rock Gathering</w:t>
            </w:r>
          </w:p>
        </w:tc>
        <w:tc>
          <w:tcPr>
            <w:tcW w:w="8720" w:type="dxa"/>
            <w:vAlign w:val="bottom"/>
          </w:tcPr>
          <w:p>
            <w:pPr>
              <w:ind w:left="300"/>
              <w:spacing w:after="0"/>
              <w:rPr>
                <w:sz w:val="20"/>
                <w:szCs w:val="20"/>
                <w:color w:val="auto"/>
              </w:rPr>
            </w:pPr>
            <w:r>
              <w:rPr>
                <w:rFonts w:ascii="Arial" w:cs="Arial" w:eastAsia="Arial" w:hAnsi="Arial"/>
                <w:sz w:val="18"/>
                <w:szCs w:val="18"/>
                <w:color w:val="auto"/>
              </w:rPr>
              <w:t>Red Rock Gathering Company, LLC</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Remaining Consideration</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the consideration to be paid to SMP Holdings in 2020 in connection with the 2016</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Drop Down, the present value of which is reflected on our balance sheets as the</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Purchase Price Obligation</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Revolving Credit Facility</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Agreement dated as of September 22, 2017 and by the Second Amendment</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to Third Amended and Restated Credit Agreement dated as of June 26, 2019</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Securities and Exchange Commission</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segment adjusted</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700" w:type="dxa"/>
            <w:vAlign w:val="bottom"/>
          </w:tcPr>
          <w:p>
            <w:pPr>
              <w:ind w:left="580"/>
              <w:spacing w:after="0" w:line="202" w:lineRule="exact"/>
              <w:rPr>
                <w:sz w:val="20"/>
                <w:szCs w:val="20"/>
                <w:color w:val="auto"/>
              </w:rPr>
            </w:pPr>
            <w:r>
              <w:rPr>
                <w:rFonts w:ascii="Arial" w:cs="Arial" w:eastAsia="Arial" w:hAnsi="Arial"/>
                <w:sz w:val="18"/>
                <w:szCs w:val="18"/>
                <w:color w:val="auto"/>
              </w:rPr>
              <w:t>EBITDA</w:t>
            </w: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based and noncash compensation, (vii) the change in the Deferred Purchase</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Price Obligation fair value, (viii) impairments and (ix) other noncash expenses</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or losses, less other noncash income or gains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A Preferred Units</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shortfall payment</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meet its MVC for the applicable period</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SMLP LTIP</w:t>
            </w:r>
          </w:p>
        </w:tc>
        <w:tc>
          <w:tcPr>
            <w:tcW w:w="8720" w:type="dxa"/>
            <w:vAlign w:val="bottom"/>
          </w:tcPr>
          <w:p>
            <w:pPr>
              <w:ind w:left="30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Holdings,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Sponsor</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as Energy Capital Partners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Niobrara</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Niobrara,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Permian</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 II</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Permian II,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Summit Permian</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Summit Permian Transmission, LLC</w:t>
            </w:r>
          </w:p>
        </w:tc>
      </w:tr>
      <w:tr>
        <w:trPr>
          <w:trHeight w:val="225"/>
        </w:trPr>
        <w:tc>
          <w:tcPr>
            <w:tcW w:w="2700" w:type="dxa"/>
            <w:vAlign w:val="bottom"/>
          </w:tcPr>
          <w:p>
            <w:pPr>
              <w:ind w:left="580"/>
              <w:spacing w:after="0"/>
              <w:rPr>
                <w:sz w:val="20"/>
                <w:szCs w:val="20"/>
                <w:color w:val="auto"/>
              </w:rPr>
            </w:pPr>
            <w:r>
              <w:rPr>
                <w:rFonts w:ascii="Arial" w:cs="Arial" w:eastAsia="Arial" w:hAnsi="Arial"/>
                <w:sz w:val="18"/>
                <w:szCs w:val="18"/>
                <w:color w:val="auto"/>
              </w:rPr>
              <w:t>Transmission</w:t>
            </w:r>
          </w:p>
        </w:tc>
        <w:tc>
          <w:tcPr>
            <w:tcW w:w="8720" w:type="dxa"/>
            <w:vAlign w:val="bottom"/>
          </w:tcPr>
          <w:p>
            <w:pPr>
              <w:spacing w:after="0"/>
              <w:rPr>
                <w:sz w:val="19"/>
                <w:szCs w:val="19"/>
                <w:color w:val="auto"/>
              </w:rPr>
            </w:pP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Utica</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the Company</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Partnership</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LP and its subsidiaries</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throughput volume</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also referred to as volume throughput</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Tioga Midstream</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Tioga Midstream,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unconventional resource</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700" w:type="dxa"/>
            <w:vAlign w:val="bottom"/>
          </w:tcPr>
          <w:p>
            <w:pPr>
              <w:ind w:left="580"/>
              <w:spacing w:after="0" w:line="202" w:lineRule="exact"/>
              <w:rPr>
                <w:sz w:val="20"/>
                <w:szCs w:val="20"/>
                <w:color w:val="auto"/>
              </w:rPr>
            </w:pPr>
            <w:r>
              <w:rPr>
                <w:rFonts w:ascii="Arial" w:cs="Arial" w:eastAsia="Arial" w:hAnsi="Arial"/>
                <w:sz w:val="18"/>
                <w:szCs w:val="18"/>
                <w:color w:val="auto"/>
              </w:rPr>
              <w:t>basin</w:t>
            </w: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referred to as an unconventional resource play</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wellhead</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436"/>
        </w:trPr>
        <w:tc>
          <w:tcPr>
            <w:tcW w:w="270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rPr>
              <w:t>3</w:t>
            </w:r>
          </w:p>
        </w:tc>
      </w:tr>
      <w:tr>
        <w:trPr>
          <w:trHeight w:val="98"/>
        </w:trPr>
        <w:tc>
          <w:tcPr>
            <w:tcW w:w="2700" w:type="dxa"/>
            <w:vAlign w:val="bottom"/>
            <w:tcBorders>
              <w:bottom w:val="single" w:sz="8" w:color="9A9A9A"/>
            </w:tcBorders>
          </w:tcPr>
          <w:p>
            <w:pPr>
              <w:spacing w:after="0"/>
              <w:rPr>
                <w:sz w:val="8"/>
                <w:szCs w:val="8"/>
                <w:color w:val="auto"/>
              </w:rPr>
            </w:pPr>
          </w:p>
        </w:tc>
        <w:tc>
          <w:tcPr>
            <w:tcW w:w="8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580" w:type="dxa"/>
            <w:vAlign w:val="bottom"/>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(In thousands, except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5,050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88,889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5,525</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99,464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1,899,281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243,773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273,416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Investment in equity method investees</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648,748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649,250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10,190</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2,901,456</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27,651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9,616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Due to affiliate</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12,595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Ad valorem taxes payable</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7,941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15,367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Accrued environmental remediation</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12,422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Deferred Purchase Price Obligation</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295,834</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383,242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1,392,986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Purchase Price Obligation</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22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39,834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2,704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8,491</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1,827,257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1,799,338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600" w:type="dxa"/>
            <w:vAlign w:val="bottom"/>
          </w:tcPr>
          <w:p>
            <w:pPr>
              <w:spacing w:after="0" w:line="194" w:lineRule="exact"/>
              <w:rPr>
                <w:sz w:val="20"/>
                <w:szCs w:val="20"/>
                <w:color w:val="auto"/>
              </w:rPr>
            </w:pPr>
            <w:r>
              <w:rPr>
                <w:rFonts w:ascii="Arial" w:cs="Arial" w:eastAsia="Arial" w:hAnsi="Arial"/>
                <w:sz w:val="18"/>
                <w:szCs w:val="18"/>
                <w:color w:val="auto"/>
              </w:rPr>
              <w:t>Series A Preferred Units (300,000 units issued and outstanding at</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September 30, 2019 and December 31, 2018)</w:t>
            </w:r>
          </w:p>
        </w:tc>
        <w:tc>
          <w:tcPr>
            <w:tcW w:w="22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300,741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293,616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Common limited partner capital (82,748,345 units issued and outstanding</w:t>
            </w: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at September 30, 2019 and 73,390,853 units issued and outstanding</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December 31, 2018)</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773,458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902,358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tcPr>
          <w:p>
            <w:pPr>
              <w:spacing w:after="0" w:line="194" w:lineRule="exact"/>
              <w:rPr>
                <w:sz w:val="20"/>
                <w:szCs w:val="20"/>
                <w:color w:val="auto"/>
              </w:rPr>
            </w:pPr>
            <w:r>
              <w:rPr>
                <w:rFonts w:ascii="Arial" w:cs="Arial" w:eastAsia="Arial" w:hAnsi="Arial"/>
                <w:sz w:val="18"/>
                <w:szCs w:val="18"/>
                <w:color w:val="auto"/>
              </w:rPr>
              <w:t>General Partner interests (zero units issued and outstanding at</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2019 and 1,490,999 units issued and outstanding</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at December 31, 2018)</w:t>
            </w:r>
          </w:p>
        </w:tc>
        <w:tc>
          <w:tcPr>
            <w:tcW w:w="2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1,074,199</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2,901,456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 except per-unit amounts)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80,968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86,427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243,039</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12,219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34,017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68,438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7,035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19,804</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100,187</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127,479</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331,281</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372,982</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7,472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26,879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50,802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74,171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9,949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37,444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27,406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26,743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81,933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87,051</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91,290</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305,066</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266,992</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Purchase Price Obligation</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37,204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00" w:type="dxa"/>
            <w:vAlign w:val="bottom"/>
            <w:shd w:val="clear" w:color="auto" w:fill="CFF0FC"/>
          </w:tcPr>
          <w:p>
            <w:pPr>
              <w:ind w:left="240"/>
              <w:spacing w:after="0" w:line="187" w:lineRule="exact"/>
              <w:rPr>
                <w:sz w:val="20"/>
                <w:szCs w:val="20"/>
                <w:color w:val="auto"/>
              </w:rPr>
            </w:pPr>
            <w:r>
              <w:rPr>
                <w:rFonts w:ascii="Arial" w:cs="Arial" w:eastAsia="Arial" w:hAnsi="Arial"/>
                <w:sz w:val="18"/>
                <w:szCs w:val="18"/>
                <w:color w:val="auto"/>
              </w:rPr>
              <w:t>(Loss) income before income taxes and loss</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equity method investees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58,589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57,455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(42,750)</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Less: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income attributable to SMLP</w:t>
            </w: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57,430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tcPr>
          <w:p>
            <w:pPr>
              <w:ind w:left="120"/>
              <w:spacing w:after="0" w:line="194" w:lineRule="exact"/>
              <w:rPr>
                <w:sz w:val="20"/>
                <w:szCs w:val="20"/>
                <w:color w:val="auto"/>
              </w:rPr>
            </w:pPr>
            <w:r>
              <w:rPr>
                <w:rFonts w:ascii="Arial" w:cs="Arial" w:eastAsia="Arial" w:hAnsi="Arial"/>
                <w:sz w:val="18"/>
                <w:szCs w:val="18"/>
                <w:color w:val="auto"/>
              </w:rPr>
              <w:t>Net income attributable to General Partner,</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0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including IDRs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income attributable to limited partners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54,151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income attributable to Series A Preferred Units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7,125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income attributable to common limited partners</w:t>
            </w: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47,026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(64,137)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per limited partner unit: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 – basic</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diluted</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units – basic</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80,429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units – diluted</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82,718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73,756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80,429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73,283</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Partners' capital</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9"/>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5"/>
          </w:tcPr>
          <w:p>
            <w:pPr>
              <w:ind w:left="660"/>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4"/>
        </w:trPr>
        <w:tc>
          <w:tcPr>
            <w:tcW w:w="4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tcBorders>
              <w:top w:val="single" w:sz="8" w:color="auto"/>
            </w:tcBorders>
            <w:gridSpan w:val="2"/>
          </w:tcPr>
          <w:p>
            <w:pPr>
              <w:jc w:val="right"/>
              <w:ind w:right="112"/>
              <w:spacing w:after="0" w:line="154" w:lineRule="exact"/>
              <w:rPr>
                <w:sz w:val="20"/>
                <w:szCs w:val="20"/>
                <w:color w:val="auto"/>
              </w:rPr>
            </w:pPr>
            <w:r>
              <w:rPr>
                <w:rFonts w:ascii="Arial" w:cs="Arial" w:eastAsia="Arial" w:hAnsi="Arial"/>
                <w:sz w:val="14"/>
                <w:szCs w:val="14"/>
                <w:b w:val="1"/>
                <w:bCs w:val="1"/>
                <w:color w:val="auto"/>
              </w:rPr>
              <w:t>Series A Preferred</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7"/>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Common</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General Partner</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Total</w:t>
            </w:r>
          </w:p>
        </w:tc>
      </w:tr>
      <w:tr>
        <w:trPr>
          <w:trHeight w:val="169"/>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11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902,358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25,250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(36,914)</w:t>
            </w: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Conversion of General Partner economic</w:t>
            </w: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25"/>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22,222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(42,241)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(45,281)</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2,526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2,526</w:t>
            </w:r>
          </w:p>
        </w:tc>
      </w:tr>
      <w:tr>
        <w:trPr>
          <w:trHeight w:val="193"/>
        </w:trPr>
        <w:tc>
          <w:tcPr>
            <w:tcW w:w="4040" w:type="dxa"/>
            <w:vAlign w:val="bottom"/>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40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awards</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2019</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838,292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1,139,033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4,809</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1,393</w:t>
            </w: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25"/>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r>
      <w:tr>
        <w:trPr>
          <w:trHeight w:val="210"/>
        </w:trPr>
        <w:tc>
          <w:tcPr>
            <w:tcW w:w="4040" w:type="dxa"/>
            <w:vAlign w:val="bottom"/>
          </w:tcPr>
          <w:p>
            <w:pPr>
              <w:spacing w:after="0"/>
              <w:rPr>
                <w:sz w:val="20"/>
                <w:szCs w:val="20"/>
                <w:color w:val="auto"/>
              </w:rPr>
            </w:pPr>
            <w:r>
              <w:rPr>
                <w:rFonts w:ascii="Arial" w:cs="Arial" w:eastAsia="Arial" w:hAnsi="Arial"/>
                <w:sz w:val="18"/>
                <w:szCs w:val="18"/>
                <w:b w:val="1"/>
                <w:bCs w:val="1"/>
                <w:color w:val="auto"/>
              </w:rPr>
              <w:t>Partners' capital, June 30, 2019</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293,616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813,499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1,107,115</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(23,777)</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1,451</w:t>
            </w:r>
          </w:p>
        </w:tc>
      </w:tr>
      <w:tr>
        <w:trPr>
          <w:trHeight w:val="193"/>
        </w:trPr>
        <w:tc>
          <w:tcPr>
            <w:tcW w:w="4040" w:type="dxa"/>
            <w:vAlign w:val="bottom"/>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40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awards</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w:t>
            </w:r>
          </w:p>
        </w:tc>
      </w:tr>
      <w:tr>
        <w:trPr>
          <w:trHeight w:val="210"/>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September 30, 2019</w:t>
            </w:r>
          </w:p>
        </w:tc>
        <w:tc>
          <w:tcPr>
            <w:tcW w:w="7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773,458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1,074,199</w:t>
            </w: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left="260" w:right="1760"/>
        <w:spacing w:after="0" w:line="252"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PARTNERS' CAPITAL (continued)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460"/>
              <w:spacing w:after="0" w:line="154" w:lineRule="exact"/>
              <w:rPr>
                <w:sz w:val="20"/>
                <w:szCs w:val="20"/>
                <w:color w:val="auto"/>
              </w:rPr>
            </w:pPr>
            <w:r>
              <w:rPr>
                <w:rFonts w:ascii="Arial" w:cs="Arial" w:eastAsia="Arial" w:hAnsi="Arial"/>
                <w:sz w:val="14"/>
                <w:szCs w:val="14"/>
                <w:b w:val="1"/>
                <w:bCs w:val="1"/>
                <w:color w:val="auto"/>
              </w:rPr>
              <w:t>Series A</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Preferred Units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Common</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General Partner</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interest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Partners' capital, December 31, 2017,</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as reported</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294,426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1,056,510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27,920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10,813</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1,389,669</w:t>
            </w:r>
          </w:p>
        </w:tc>
        <w:tc>
          <w:tcPr>
            <w:tcW w:w="0" w:type="dxa"/>
            <w:vAlign w:val="bottom"/>
          </w:tcPr>
          <w:p>
            <w:pPr>
              <w:spacing w:after="0"/>
              <w:rPr>
                <w:sz w:val="1"/>
                <w:szCs w:val="1"/>
                <w:color w:val="auto"/>
              </w:rPr>
            </w:pPr>
          </w:p>
        </w:tc>
      </w:tr>
      <w:tr>
        <w:trPr>
          <w:trHeight w:val="193"/>
        </w:trPr>
        <w:tc>
          <w:tcPr>
            <w:tcW w:w="4200" w:type="dxa"/>
            <w:vAlign w:val="bottom"/>
          </w:tcPr>
          <w:p>
            <w:pPr>
              <w:spacing w:after="0" w:line="194" w:lineRule="exact"/>
              <w:rPr>
                <w:sz w:val="20"/>
                <w:szCs w:val="20"/>
                <w:color w:val="auto"/>
              </w:rPr>
            </w:pPr>
            <w:r>
              <w:rPr>
                <w:rFonts w:ascii="Arial" w:cs="Arial" w:eastAsia="Arial" w:hAnsi="Arial"/>
                <w:sz w:val="18"/>
                <w:szCs w:val="18"/>
                <w:color w:val="auto"/>
              </w:rPr>
              <w:t>January 1, 2018 impact of Topic 606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200"/>
              <w:spacing w:after="0"/>
              <w:rPr>
                <w:sz w:val="20"/>
                <w:szCs w:val="20"/>
                <w:color w:val="auto"/>
              </w:rPr>
            </w:pPr>
            <w:r>
              <w:rPr>
                <w:rFonts w:ascii="Arial" w:cs="Arial" w:eastAsia="Arial" w:hAnsi="Arial"/>
                <w:sz w:val="18"/>
                <w:szCs w:val="18"/>
                <w:color w:val="auto"/>
              </w:rPr>
              <w:t>day 1 adoption</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2018</w:t>
            </w: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294,426</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1,060,640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28,004</w:t>
            </w: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10,813</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1,393,883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2018</w:t>
            </w: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1,005,409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27,033</w:t>
            </w: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10,898</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1,344,081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(49,913)</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June 30, 2018</w:t>
            </w: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907,099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25,137</w:t>
            </w: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10,956</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1,236,808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47,026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57,455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September 30, 2018</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913,913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25,380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10,981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1,251,015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center"/>
              <w:ind w:right="37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169"/>
        </w:trPr>
        <w:tc>
          <w:tcPr>
            <w:tcW w:w="5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 income</w:t>
            </w:r>
          </w:p>
        </w:tc>
        <w:tc>
          <w:tcPr>
            <w:tcW w:w="3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(42,750)</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3,697</w:t>
            </w:r>
          </w:p>
        </w:tc>
      </w:tr>
      <w:tr>
        <w:trPr>
          <w:trHeight w:val="191"/>
        </w:trPr>
        <w:tc>
          <w:tcPr>
            <w:tcW w:w="502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Adjustments to reconcile net (loss) income to net</w:t>
            </w:r>
          </w:p>
        </w:tc>
        <w:tc>
          <w:tcPr>
            <w:tcW w:w="2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7"/>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2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82,919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79,752</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2,299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3,296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3,184</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11,899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53,759</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5,370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6,188</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from equity method investees</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3,703</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28,008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26,528</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45,021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2,127</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16,211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8,363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(11,557)</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5,848</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Due to affiliate</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5,160</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Ad valorem taxes payable</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3,081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2,975</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Accrued environmental remediation, net</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8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w:t>
            </w:r>
          </w:p>
        </w:tc>
      </w:tr>
      <w:tr>
        <w:trPr>
          <w:trHeight w:val="210"/>
        </w:trPr>
        <w:tc>
          <w:tcPr>
            <w:tcW w:w="50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143,419</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166,492</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Capital expenditures</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(151,663)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(137,033)</w:t>
            </w:r>
          </w:p>
        </w:tc>
      </w:tr>
      <w:tr>
        <w:trPr>
          <w:trHeight w:val="193"/>
        </w:trPr>
        <w:tc>
          <w:tcPr>
            <w:tcW w:w="50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Proceeds from asset sale (net of cash of $1,475 for the</w:t>
            </w:r>
          </w:p>
        </w:tc>
        <w:tc>
          <w:tcPr>
            <w:tcW w:w="2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nine months ended September 30, 2019)</w:t>
            </w:r>
          </w:p>
        </w:tc>
        <w:tc>
          <w:tcPr>
            <w:tcW w:w="2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90,111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Distributions from equity method investment</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7,252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w:t>
            </w:r>
          </w:p>
        </w:tc>
        <w:tc>
          <w:tcPr>
            <w:tcW w:w="2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8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343</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10"/>
        </w:trPr>
        <w:tc>
          <w:tcPr>
            <w:tcW w:w="5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(65,287)</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(136,746)</w:t>
            </w:r>
          </w:p>
        </w:tc>
      </w:tr>
      <w:tr>
        <w:trPr>
          <w:trHeight w:val="430"/>
        </w:trPr>
        <w:tc>
          <w:tcPr>
            <w:tcW w:w="5020" w:type="dxa"/>
            <w:vAlign w:val="bottom"/>
          </w:tcPr>
          <w:p>
            <w:pPr>
              <w:spacing w:after="0"/>
              <w:rPr>
                <w:sz w:val="24"/>
                <w:szCs w:val="24"/>
                <w:color w:val="auto"/>
              </w:rPr>
            </w:pPr>
          </w:p>
        </w:tc>
        <w:tc>
          <w:tcPr>
            <w:tcW w:w="2820" w:type="dxa"/>
            <w:vAlign w:val="bottom"/>
          </w:tcPr>
          <w:p>
            <w:pPr>
              <w:jc w:val="right"/>
              <w:ind w:right="199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line="252"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CASH FLOWS (continued)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(92,833)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 unitholders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265,000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 Facility</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(131,000)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 of Deferred Purchase Price Obligation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(77,427)</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4,345</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5,050</w:t>
            </w:r>
          </w:p>
        </w:tc>
        <w:tc>
          <w:tcPr>
            <w:tcW w:w="18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paid</w:t>
            </w:r>
          </w:p>
        </w:tc>
        <w:tc>
          <w:tcPr>
            <w:tcW w:w="1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54,100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capitalized interest</w:t>
            </w:r>
          </w:p>
        </w:tc>
        <w:tc>
          <w:tcPr>
            <w:tcW w:w="1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5,752</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paid (net of capitalized interest)</w:t>
            </w:r>
          </w:p>
        </w:tc>
        <w:tc>
          <w:tcPr>
            <w:tcW w:w="1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48,348</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1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Pr>
          <w:p>
            <w:pPr>
              <w:spacing w:after="0" w:line="194" w:lineRule="exact"/>
              <w:rPr>
                <w:sz w:val="20"/>
                <w:szCs w:val="20"/>
                <w:color w:val="auto"/>
              </w:rPr>
            </w:pPr>
            <w:r>
              <w:rPr>
                <w:rFonts w:ascii="Arial" w:cs="Arial" w:eastAsia="Arial" w:hAnsi="Arial"/>
                <w:sz w:val="18"/>
                <w:szCs w:val="18"/>
                <w:color w:val="auto"/>
              </w:rPr>
              <w:t>Capital expenditures in trade accounts payable (period-end</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accruals)</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22,166</w:t>
            </w:r>
          </w:p>
        </w:tc>
        <w:tc>
          <w:tcPr>
            <w:tcW w:w="1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Asset contribution to an equity method investment</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23,643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Pr>
          <w:p>
            <w:pPr>
              <w:spacing w:after="0" w:line="194" w:lineRule="exact"/>
              <w:rPr>
                <w:sz w:val="20"/>
                <w:szCs w:val="20"/>
                <w:color w:val="auto"/>
              </w:rPr>
            </w:pPr>
            <w:r>
              <w:rPr>
                <w:rFonts w:ascii="Arial" w:cs="Arial" w:eastAsia="Arial" w:hAnsi="Arial"/>
                <w:sz w:val="18"/>
                <w:szCs w:val="18"/>
                <w:color w:val="auto"/>
              </w:rPr>
              <w:t>Capital expenditures relating to contributions in aid of construction</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for Topic 606 day 1 adoption</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relating to Topic 842</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 xml:space="preserve">Organization. </w:t>
      </w:r>
      <w:r>
        <w:rPr>
          <w:rFonts w:ascii="Arial" w:cs="Arial" w:eastAsia="Arial" w:hAnsi="Arial"/>
          <w:sz w:val="18"/>
          <w:szCs w:val="18"/>
          <w:color w:val="auto"/>
        </w:rPr>
        <w:t>SMLP, a Delaware limited partnership, was formed in May 2012 and began operations in October 2012. SMLP is a growth-oriented limited partnership focused on developing, owning and operating midstream energy infrastructure assets that are strategically located in the core producing areas of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General Partner, a Delaware limited liability company, manages our operations and activities. Summit Investments, a Delaware limited liability company, is the ultimate owner of our General Partner and has the right to appoint the entire Board of Directors. Summit Investments is controlled by Energy Capital Partners.</w:t>
      </w:r>
    </w:p>
    <w:p>
      <w:pPr>
        <w:spacing w:after="0" w:line="5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Summit Investments owned an approximate 2% general partner interest in SMLP (including the IDRs) until March 22, 2019. On March 22, 2019, we executed an equity restructuring agreement with the General Partner and SMP Holdings pursuant to which the IDRs and the 2% general partner interest were converted into a non-economic general partner interest in exchange for 8,750,000 common units which were issued to SMP Holdings (the “Equity Restructuring”). As of September 30, 2019, SMP Holdings, a wholly owned subsidiary of Summit Investments, beneficially owned 34,604,581 SMLP common units and a subsidiary of Energy Capital Partners directly owned 5,915,827 SMLP common units.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Neither SMLP nor its subsidiaries have any employees. All of the personnel that conduct our business are employed by Summit Investments, but these individuals are sometimes referred to as our employees.</w:t>
      </w:r>
    </w:p>
    <w:p>
      <w:pPr>
        <w:spacing w:after="0" w:line="3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systems:</w:t>
      </w:r>
    </w:p>
    <w:p>
      <w:pPr>
        <w:spacing w:after="0" w:line="56" w:lineRule="exact"/>
        <w:rPr>
          <w:sz w:val="20"/>
          <w:szCs w:val="20"/>
          <w:color w:val="auto"/>
        </w:rPr>
      </w:pPr>
    </w:p>
    <w:p>
      <w:pPr>
        <w:ind w:left="800" w:right="4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38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6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26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37" w:lineRule="exact"/>
        <w:rPr>
          <w:rFonts w:ascii="Times New Roman" w:cs="Times New Roman" w:eastAsia="Times New Roman" w:hAnsi="Times New Roman"/>
          <w:sz w:val="18"/>
          <w:szCs w:val="18"/>
          <w:color w:val="auto"/>
        </w:rPr>
      </w:pPr>
    </w:p>
    <w:p>
      <w:pPr>
        <w:ind w:left="800" w:right="52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37" w:lineRule="exact"/>
        <w:rPr>
          <w:rFonts w:ascii="Times New Roman" w:cs="Times New Roman" w:eastAsia="Times New Roman" w:hAnsi="Times New Roman"/>
          <w:sz w:val="18"/>
          <w:szCs w:val="18"/>
          <w:color w:val="auto"/>
        </w:rPr>
      </w:pPr>
    </w:p>
    <w:p>
      <w:pPr>
        <w:ind w:left="800" w:right="68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37"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 w:name="page12"/>
    <w:bookmarkEnd w:id="11"/>
    <w:p>
      <w:pPr>
        <w:ind w:left="800" w:right="420" w:hanging="400"/>
        <w:spacing w:after="0" w:line="275" w:lineRule="auto"/>
        <w:tabs>
          <w:tab w:leader="none" w:pos="8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for details on the sale of Tioga Midstream.</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in conjunction with the Project, Summit Permian Transmission entered into a definitive joint venture agreement (the “Agreement”) with an affiliate of Double E’s foundation shipper (the “JV Partner”) to fund the capital expenditures associated with the Project. Refer to Note 8 for additional details.</w:t>
      </w:r>
    </w:p>
    <w:p>
      <w:pPr>
        <w:spacing w:after="0" w:line="56"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Other than our investments in Double E and Ohio Gathering, all of our business activities are conducted through wholly owned operating subsidiaries.</w:t>
      </w:r>
    </w:p>
    <w:p>
      <w:pPr>
        <w:spacing w:after="0" w:line="3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unaudited condensed consolidated financial statements in accordance with GAAP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FASB. We make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unaudited condensed consolidated financial statements have been prepared pursuant to the rules and the regulations of the SEC. Certain information and note disclosures normally included in the annual financial statements prepared in accordance with GAAP have been condensed or omitted pursuant to those rules and regulations. We believe that the disclosures made are adequate to make the information not misleading. In the opinion of management, the unaudited condensed consolidated financial statements contain all adjustments which are necessary to fairly present the unaudited condensed consolidated balance sheet as of September 30, 2019, the unaudited condensed consolidated statements of operations and statements of partners’ capital for the three and nine months ended September 30, 2019 and 2018 and the unaudited condensed consolidated statements of cash flows for the nine months ended September 30, 2019 and 2018. The balance sheet at December 31, 2018 included herein was derived from our audited financial statements, but does not include all disclosures required by GAAP. See Note 2 for the impact relating to the adoption of the new lease standard. These unaudited condensed consolidated financial statements should be read in conjunction with the consolidated financial statements and notes thereto that are included in our annual report on Form 10-K for the year ended December 31, 2018, as filed with the SEC on February 26, 2019 (the "2018 Annual Report"). The results of operations for an interim period are not necessarily indicative of results expected for a full 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changes below, there have been no changes to our significant accounting policies since December 31, 2018.</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r>
        <w:rPr>
          <w:rFonts w:ascii="Arial" w:cs="Arial" w:eastAsia="Arial" w:hAnsi="Arial"/>
          <w:sz w:val="18"/>
          <w:szCs w:val="18"/>
          <w:color w:val="auto"/>
        </w:rPr>
        <w:t>. We have recently adopted the following accounting pronouncement:</w:t>
      </w:r>
    </w:p>
    <w:p>
      <w:pPr>
        <w:spacing w:after="0" w:line="212" w:lineRule="exact"/>
        <w:rPr>
          <w:sz w:val="20"/>
          <w:szCs w:val="20"/>
          <w:color w:val="auto"/>
        </w:rPr>
      </w:pPr>
    </w:p>
    <w:p>
      <w:pPr>
        <w:ind w:left="800" w:right="120" w:hanging="400"/>
        <w:spacing w:after="0" w:line="241" w:lineRule="auto"/>
        <w:tabs>
          <w:tab w:leader="none" w:pos="8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2016-02 Leases (“Topic 842"). We adopted Topic 842 with a date of initial application of January 1, 2019. We applied Topic 842 by recognizing (i) a $5.4 million right-of-use (“ROU”) asset which represents the right to use, or to control the use of, specified assets for a lease term. The ROU asset is included in the Property, plant and equipment, net caption on the unaudited condensed consolidated balance sheet; and (ii) a $5.4 million lease liability for the obligation to make lease payments arising from the leases. The lease liability is included in the Other current liabilities and Other noncurrent liabilities captions on the unaudited condensed consolidated balance sheet. The comparative information has not been adjusted and is reported under the accounting standards in effect for those periods.</w:t>
      </w:r>
    </w:p>
    <w:p>
      <w:pPr>
        <w:spacing w:after="0" w:line="7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Refer to Note 16 for additional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Accounting Pronouncements Pending Adoption</w:t>
      </w:r>
      <w:r>
        <w:rPr>
          <w:rFonts w:ascii="Arial" w:cs="Arial" w:eastAsia="Arial" w:hAnsi="Arial"/>
          <w:sz w:val="18"/>
          <w:szCs w:val="18"/>
          <w:color w:val="auto"/>
        </w:rPr>
        <w:t>. We have not yet adopted the following accounting pronouncement as of September 30, 2019:</w:t>
      </w:r>
    </w:p>
    <w:p>
      <w:pPr>
        <w:spacing w:after="0" w:line="104" w:lineRule="exact"/>
        <w:rPr>
          <w:sz w:val="20"/>
          <w:szCs w:val="20"/>
          <w:color w:val="auto"/>
        </w:rPr>
      </w:pPr>
    </w:p>
    <w:p>
      <w:pPr>
        <w:ind w:left="800" w:right="40" w:hanging="400"/>
        <w:spacing w:after="0"/>
        <w:tabs>
          <w:tab w:leader="none" w:pos="8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We are currently evaluating the provisions of ASU 2018-13 and expect the adoption will not have a material impact on our financial statements and related disclosures. We will adopt its provisions effective January 1, 2020.</w:t>
      </w:r>
    </w:p>
    <w:p>
      <w:pPr>
        <w:spacing w:after="0" w:line="70"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majority of our revenue is derived from long-term, fee-based contracts with our customers, which include original terms of up to 25 years. 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and NGLs retained from certain of our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7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transaction price in our contracts is primarily based on the volume of natural gas, crude oil or produced water transferred by our gathering systems to the customer’s agreed upon delivery point multiplied by the contractual rate. For contracts that include MVCs, variable consideration up to the MVC will be included in the transaction price. For contracts that do not include MVCs, we do not estimate variable consideration because the performance obligations are completed and settled on a daily basis. For contracts containing noncash consideration such as fuel received in-kind, we measure the transaction price at the point of sale when the volume, mix and market price of the commodities are known.</w:t>
      </w:r>
    </w:p>
    <w:p>
      <w:pPr>
        <w:spacing w:after="0" w:line="6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We have contracts with MVCs that are variable and constrained. Contracts with greater than monthly MVCs are reviewed on a quarterly basis and adjustments to those estimates are made during each respective reporting period, if necessary.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3" w:name="page14"/>
    <w:bookmarkEnd w:id="13"/>
    <w:p>
      <w:pPr>
        <w:ind w:right="460"/>
        <w:spacing w:after="0" w:line="276"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The majority of our contracts have a single performance obligation which is either to provide gathering services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service) or sell natural gas, NGLs and condensate, which are both satisfied when the related natural gas, crude oil and produced water are received and transferred to an agreed upon delivery point. We also have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we allocate the contract’s transaction price to each performance obligation using our best estimate of the standalone selling price of each service in the contract.</w:t>
      </w:r>
    </w:p>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Performance obligations for gathering services are generally satisfied over time. We utilize either an output method (i.e., measure of progress) for guaranteed, stand-ready service contracts or an asset/system delivery time estimate for non-guaranteed, as-available service contracts.</w:t>
      </w:r>
    </w:p>
    <w:p>
      <w:pPr>
        <w:spacing w:after="0" w:line="37"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3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Certain of our gathering and/or processing agreements provide for monthly, annual or multi-year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63"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Our services are typically billed on a monthly basis and we do not offer extended payment terms. We do not have contracts with financing components.</w:t>
      </w:r>
    </w:p>
    <w:p>
      <w:pPr>
        <w:spacing w:after="0" w:line="37"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2019 and over the remaining contract period related to performance obligations that are unsatisfied and are comprised of estimated MVC shortfall payments.</w:t>
      </w:r>
    </w:p>
    <w:p>
      <w:pPr>
        <w:spacing w:after="0" w:line="3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applied the practical expedient in paragraph 606-10-50-14 of Topic 606 for certain arrangements that we consider optional purchases (i.e., there is no enforceable obligation for the customer to make purchases) and those amounts are therefore excluded from the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31,349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120,941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100,117</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83,673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70,971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113,577</w:t>
            </w:r>
          </w:p>
        </w:tc>
      </w:tr>
      <w:tr>
        <w:trPr>
          <w:trHeight w:val="558"/>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3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4" w:name="page15"/>
    <w:bookmarkEnd w:id="14"/>
    <w:p>
      <w:pPr>
        <w:ind w:right="100"/>
        <w:spacing w:after="0" w:line="276"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Ohio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excluded from the tables below due to equity method accounting. For more detailed information about reportable segments, see Note 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6"/>
                <w:szCs w:val="16"/>
                <w:b w:val="1"/>
                <w:bCs w:val="1"/>
                <w:color w:val="auto"/>
              </w:rPr>
              <w:t>Three months ended September 30, 2019</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6"/>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6"/>
                <w:szCs w:val="16"/>
                <w:b w:val="1"/>
                <w:bCs w:val="1"/>
                <w:color w:val="auto"/>
              </w:rPr>
              <w:t>Utica</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Permian</w:t>
            </w:r>
          </w:p>
        </w:tc>
        <w:tc>
          <w:tcPr>
            <w:tcW w:w="6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Barnett</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DJ Basin</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2"/>
        </w:trPr>
        <w:tc>
          <w:tcPr>
            <w:tcW w:w="2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84"/>
        </w:trPr>
        <w:tc>
          <w:tcPr>
            <w:tcW w:w="2280" w:type="dxa"/>
            <w:vAlign w:val="bottom"/>
          </w:tcPr>
          <w:p>
            <w:pPr>
              <w:spacing w:after="0"/>
              <w:rPr>
                <w:sz w:val="20"/>
                <w:szCs w:val="20"/>
                <w:color w:val="auto"/>
              </w:rPr>
            </w:pPr>
            <w:r>
              <w:rPr>
                <w:rFonts w:ascii="Arial" w:cs="Arial" w:eastAsia="Arial" w:hAnsi="Arial"/>
                <w:sz w:val="16"/>
                <w:szCs w:val="16"/>
                <w:color w:val="auto"/>
              </w:rPr>
              <w:t>Gathering services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8,865</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16,685</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7,039</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986</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30,120</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11,286</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5,987</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80,968</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80,968</w:t>
            </w:r>
          </w:p>
        </w:tc>
      </w:tr>
      <w:tr>
        <w:trPr>
          <w:trHeight w:val="184"/>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3,797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12,329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12,219</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2,555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6,356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7,000</w:t>
            </w:r>
          </w:p>
        </w:tc>
      </w:tr>
      <w:tr>
        <w:trPr>
          <w:trHeight w:val="196"/>
        </w:trPr>
        <w:tc>
          <w:tcPr>
            <w:tcW w:w="2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8,865</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21,118</w:t>
            </w: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7,867</w:t>
            </w: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4,885</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33,111</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17,820</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5,987</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99,653</w:t>
            </w: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534</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100,187</w:t>
            </w:r>
          </w:p>
        </w:tc>
      </w:tr>
      <w:tr>
        <w:trPr>
          <w:trHeight w:val="378"/>
        </w:trPr>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6"/>
                <w:szCs w:val="16"/>
                <w:b w:val="1"/>
                <w:bCs w:val="1"/>
                <w:color w:val="auto"/>
              </w:rPr>
              <w:t>Nine months ended September 30, 2019</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6"/>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6"/>
                <w:szCs w:val="16"/>
                <w:b w:val="1"/>
                <w:bCs w:val="1"/>
                <w:color w:val="auto"/>
              </w:rPr>
              <w:t>Utica</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Permian</w:t>
            </w:r>
          </w:p>
        </w:tc>
        <w:tc>
          <w:tcPr>
            <w:tcW w:w="6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Barnett</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DJ Basin</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2"/>
        </w:trPr>
        <w:tc>
          <w:tcPr>
            <w:tcW w:w="2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84"/>
        </w:trPr>
        <w:tc>
          <w:tcPr>
            <w:tcW w:w="2280" w:type="dxa"/>
            <w:vAlign w:val="bottom"/>
          </w:tcPr>
          <w:p>
            <w:pPr>
              <w:spacing w:after="0"/>
              <w:rPr>
                <w:sz w:val="20"/>
                <w:szCs w:val="20"/>
                <w:color w:val="auto"/>
              </w:rPr>
            </w:pPr>
            <w:r>
              <w:rPr>
                <w:rFonts w:ascii="Arial" w:cs="Arial" w:eastAsia="Arial" w:hAnsi="Arial"/>
                <w:sz w:val="16"/>
                <w:szCs w:val="16"/>
                <w:color w:val="auto"/>
              </w:rPr>
              <w:t>Gathering services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23,951</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58,076</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14,784</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1,938</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92,515</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35,739</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18,081</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245,084</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(2,045)</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243,039</w:t>
            </w:r>
          </w:p>
        </w:tc>
      </w:tr>
      <w:tr>
        <w:trPr>
          <w:trHeight w:val="184"/>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11,231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10,424</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6,139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39,778</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28,660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68,438</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8,133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19,441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19,804</w:t>
            </w:r>
          </w:p>
        </w:tc>
      </w:tr>
      <w:tr>
        <w:trPr>
          <w:trHeight w:val="196"/>
        </w:trPr>
        <w:tc>
          <w:tcPr>
            <w:tcW w:w="2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23,951</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77,440</w:t>
            </w: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17,839</w:t>
            </w: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12,545</w:t>
            </w:r>
          </w:p>
        </w:tc>
        <w:tc>
          <w:tcPr>
            <w:tcW w:w="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w w:val="98"/>
              </w:rPr>
              <w:t>$ 101,995</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52,452</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18,081</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304,303</w:t>
            </w: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26,978</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331,281</w:t>
            </w: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13"/>
          </w:tcPr>
          <w:p>
            <w:pPr>
              <w:jc w:val="center"/>
              <w:spacing w:after="0"/>
              <w:rPr>
                <w:sz w:val="20"/>
                <w:szCs w:val="20"/>
                <w:color w:val="auto"/>
              </w:rPr>
            </w:pPr>
            <w:r>
              <w:rPr>
                <w:rFonts w:ascii="Arial" w:cs="Arial" w:eastAsia="Arial" w:hAnsi="Arial"/>
                <w:sz w:val="16"/>
                <w:szCs w:val="16"/>
                <w:b w:val="1"/>
                <w:bCs w:val="1"/>
                <w:color w:val="auto"/>
              </w:rPr>
              <w:t>Three months ended September 30, 2018</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76"/>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Utica</w:t>
            </w:r>
          </w:p>
        </w:tc>
        <w:tc>
          <w:tcPr>
            <w:tcW w:w="9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Piceance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Barnett</w:t>
            </w:r>
          </w:p>
        </w:tc>
        <w:tc>
          <w:tcPr>
            <w:tcW w:w="10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8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DJ Basin</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Shale</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rPr>
              <w:t>segments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gridSpan w:val="6"/>
          </w:tcPr>
          <w:p>
            <w:pPr>
              <w:jc w:val="center"/>
              <w:ind w:right="2"/>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2"/>
        </w:trPr>
        <w:tc>
          <w:tcPr>
            <w:tcW w:w="2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209"/>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184"/>
        </w:trPr>
        <w:tc>
          <w:tcPr>
            <w:tcW w:w="2500" w:type="dxa"/>
            <w:vAlign w:val="bottom"/>
          </w:tcPr>
          <w:p>
            <w:pPr>
              <w:spacing w:after="0"/>
              <w:rPr>
                <w:sz w:val="20"/>
                <w:szCs w:val="20"/>
                <w:color w:val="auto"/>
              </w:rPr>
            </w:pPr>
            <w:r>
              <w:rPr>
                <w:rFonts w:ascii="Arial" w:cs="Arial" w:eastAsia="Arial" w:hAnsi="Arial"/>
                <w:sz w:val="16"/>
                <w:szCs w:val="16"/>
                <w:color w:val="auto"/>
              </w:rPr>
              <w:t>Gathering services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250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7,974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18,020</w:t>
            </w:r>
          </w:p>
        </w:tc>
        <w:tc>
          <w:tcPr>
            <w:tcW w:w="30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2,708</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34,035</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18,318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7,150</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88,205</w:t>
            </w:r>
          </w:p>
        </w:tc>
        <w:tc>
          <w:tcPr>
            <w:tcW w:w="2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(1,778)</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86,427</w:t>
            </w:r>
          </w:p>
        </w:tc>
      </w:tr>
      <w:tr>
        <w:trPr>
          <w:trHeight w:val="184"/>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9"/>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207"/>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7,953</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21,625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34,017</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3,037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7,035</w:t>
            </w:r>
          </w:p>
        </w:tc>
      </w:tr>
      <w:tr>
        <w:trPr>
          <w:trHeight w:val="196"/>
        </w:trPr>
        <w:tc>
          <w:tcPr>
            <w:tcW w:w="2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7,974</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29,010</w:t>
            </w: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3,782</w:t>
            </w: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38,683</w:t>
            </w: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21,020</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7,150</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107,619</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19,860</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127,479</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rPr>
              <w:t>Nine months ended September 30, 2018</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76"/>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Utica</w:t>
            </w:r>
          </w:p>
        </w:tc>
        <w:tc>
          <w:tcPr>
            <w:tcW w:w="9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Piceance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Barnett</w:t>
            </w:r>
          </w:p>
        </w:tc>
        <w:tc>
          <w:tcPr>
            <w:tcW w:w="10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8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DJ 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Shale</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rPr>
              <w:t>segments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gridSpan w:val="6"/>
          </w:tcPr>
          <w:p>
            <w:pPr>
              <w:jc w:val="center"/>
              <w:ind w:right="2"/>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2"/>
        </w:trPr>
        <w:tc>
          <w:tcPr>
            <w:tcW w:w="2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209"/>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184"/>
        </w:trPr>
        <w:tc>
          <w:tcPr>
            <w:tcW w:w="2500" w:type="dxa"/>
            <w:vAlign w:val="bottom"/>
          </w:tcPr>
          <w:p>
            <w:pPr>
              <w:spacing w:after="0"/>
              <w:rPr>
                <w:sz w:val="20"/>
                <w:szCs w:val="20"/>
                <w:color w:val="auto"/>
              </w:rPr>
            </w:pPr>
            <w:r>
              <w:rPr>
                <w:rFonts w:ascii="Arial" w:cs="Arial" w:eastAsia="Arial" w:hAnsi="Arial"/>
                <w:sz w:val="16"/>
                <w:szCs w:val="16"/>
                <w:color w:val="auto"/>
              </w:rPr>
              <w:t>Gathering services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250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28,437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58,792</w:t>
            </w:r>
          </w:p>
        </w:tc>
        <w:tc>
          <w:tcPr>
            <w:tcW w:w="2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7,395</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100,812</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46,035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23,025</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264,496</w:t>
            </w:r>
          </w:p>
        </w:tc>
        <w:tc>
          <w:tcPr>
            <w:tcW w:w="2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(4,123)</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260,373</w:t>
            </w:r>
          </w:p>
        </w:tc>
      </w:tr>
      <w:tr>
        <w:trPr>
          <w:trHeight w:val="184"/>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9"/>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207"/>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23,149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37,514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54,511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92,025</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8,909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2,689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20,691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20,584</w:t>
            </w:r>
          </w:p>
        </w:tc>
      </w:tr>
      <w:tr>
        <w:trPr>
          <w:trHeight w:val="196"/>
        </w:trPr>
        <w:tc>
          <w:tcPr>
            <w:tcW w:w="2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28,437</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90,850</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10,355</w:t>
            </w:r>
          </w:p>
        </w:tc>
        <w:tc>
          <w:tcPr>
            <w:tcW w:w="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116,689</w:t>
            </w: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53,345</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23,025</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322,701</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50,281</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372,982</w:t>
            </w:r>
          </w:p>
        </w:tc>
      </w:tr>
    </w:tbl>
    <w:p>
      <w:pPr>
        <w:spacing w:after="0" w:line="9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our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our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15,127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26,403</w:t>
            </w: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(17,648)</w:t>
            </w:r>
          </w:p>
        </w:tc>
      </w:tr>
      <w:tr>
        <w:trPr>
          <w:trHeight w:val="236"/>
        </w:trPr>
        <w:tc>
          <w:tcPr>
            <w:tcW w:w="772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18,046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8,755</w:t>
            </w:r>
          </w:p>
        </w:tc>
      </w:tr>
    </w:tbl>
    <w:p>
      <w:pPr>
        <w:spacing w:after="0" w:line="72"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As of September 30, 2019, receivables with customers totaled $63.5 million and contract assets totaled $18.0 million which were included in the Accounts receivable caption on the unaudited condensed consolidated balance sheet.</w:t>
      </w:r>
    </w:p>
    <w:p>
      <w:pPr>
        <w:spacing w:after="0" w:line="3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As of December 31, 2018, receivables with customers totaled $82.9 million and contract assets totaled $8.8 million which were included in the Accounts receivable caption on the unaudited condensed consolidated balance sheet.</w:t>
      </w:r>
    </w:p>
    <w:p>
      <w:pPr>
        <w:spacing w:after="0" w:line="37"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three months ended September 30, 2019 and 2018, we recognized $2.4 million and $2.8 million of gathering services and related fees which was included in the contract liability balance as of the beginning of the period. For the nine months ended September 30, 2019 and 2018, we recognized $7.8 million and $7.8 million of gathering services and related fees which was included in the contract liability balance as of the beginning of the period. See Note 9 for additional details.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our reportable segments are:</w:t>
      </w:r>
    </w:p>
    <w:p>
      <w:pPr>
        <w:spacing w:after="0" w:line="104" w:lineRule="exact"/>
        <w:rPr>
          <w:sz w:val="20"/>
          <w:szCs w:val="20"/>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Utica Shale, which is served by Summit Utica;</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which includes our ownership interest in OGC and OCC;</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Williston Basin, which is served by Polar and Divide and Bison Midstream;</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DJ Basin, which is served by Niobrara G&amp;P;</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Permian Basin, which is served by Summit Permian;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Piceance Basin, which is served by Grand River;</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Barnett Shale, which is served by DFW Midstream;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Marcellus Shale, which is served by Mountaineer Midstream.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16" w:name="page17"/>
    <w:bookmarkEnd w:id="16"/>
    <w:p>
      <w:pPr>
        <w:ind w:right="180"/>
        <w:spacing w:after="0" w:line="255" w:lineRule="auto"/>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to the unaudited condensed consolidated financial statements for details on the sale of Tioga Midstream.</w:t>
      </w:r>
    </w:p>
    <w:p>
      <w:pPr>
        <w:spacing w:after="0" w:line="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3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Ohio Gathering reportable segment includes our investment in OGC and OCC. Income or loss from equity method investees, as reflected on the statements of operations, relates to Ohio Gathering and is recognized and disclosed on a one-month lag (see Note 8).</w:t>
      </w:r>
    </w:p>
    <w:p>
      <w:pPr>
        <w:spacing w:after="0" w:line="3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three and nine months ended September 30, 2019, other than the investment activity described in Note 8, Double E did not have any results of operations given that the Project is currently under development. The Project is expected to be operational in the third quarter of 2021.</w:t>
      </w:r>
    </w:p>
    <w:p>
      <w:pPr>
        <w:spacing w:after="0" w:line="5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our reportable segments for the purpose of evaluating their performance, including certain general and administrative expense items, natural gas and crude oil marketing services and transaction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7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4"/>
          </w:tcPr>
          <w:p>
            <w:pPr>
              <w:jc w:val="right"/>
              <w:ind w:right="1371"/>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Utica Shale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207,850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207,357</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620,496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649,250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Williston Basin</w:t>
            </w:r>
          </w:p>
        </w:tc>
        <w:tc>
          <w:tcPr>
            <w:tcW w:w="140" w:type="dxa"/>
            <w:vAlign w:val="bottom"/>
          </w:tcPr>
          <w:p>
            <w:pPr>
              <w:spacing w:after="0"/>
              <w:rPr>
                <w:sz w:val="18"/>
                <w:szCs w:val="18"/>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445,838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526,819</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187,542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166,580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Permian Basin</w:t>
            </w:r>
          </w:p>
        </w:tc>
        <w:tc>
          <w:tcPr>
            <w:tcW w:w="140" w:type="dxa"/>
            <w:vAlign w:val="bottom"/>
          </w:tcPr>
          <w:p>
            <w:pPr>
              <w:spacing w:after="0"/>
              <w:rPr>
                <w:sz w:val="18"/>
                <w:szCs w:val="18"/>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184,386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145,702</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665,489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699,638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Barnett Shale</w:t>
            </w:r>
          </w:p>
        </w:tc>
        <w:tc>
          <w:tcPr>
            <w:tcW w:w="140" w:type="dxa"/>
            <w:vAlign w:val="bottom"/>
          </w:tcPr>
          <w:p>
            <w:pPr>
              <w:spacing w:after="0"/>
              <w:rPr>
                <w:sz w:val="18"/>
                <w:szCs w:val="18"/>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354,173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376,564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186,899</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208,790</w:t>
            </w:r>
          </w:p>
        </w:tc>
      </w:tr>
      <w:tr>
        <w:trPr>
          <w:trHeight w:val="210"/>
        </w:trPr>
        <w:tc>
          <w:tcPr>
            <w:tcW w:w="76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140" w:type="dxa"/>
            <w:vAlign w:val="bottom"/>
          </w:tcPr>
          <w:p>
            <w:pPr>
              <w:spacing w:after="0"/>
              <w:rPr>
                <w:sz w:val="18"/>
                <w:szCs w:val="18"/>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2,852,673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2,980,700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48,783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44,181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10"/>
        </w:trPr>
        <w:tc>
          <w:tcPr>
            <w:tcW w:w="76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2,901,456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right="360" w:firstLine="8"/>
        <w:spacing w:after="0" w:line="257"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September 30, 2019, Corporate and Other included $28.3 million relating to our investment in Double E (included in the Investment in equity method investees caption of the unaudited condensed consolidated balance sheet). At December 31, 2018, Corporate and Other included $9.6 million of capital expenditures relating to the Project.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Revenues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69"/>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Utica Shale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8,865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7,974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23,951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28,437</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21,118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29,010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77,440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90,850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DJ Basin</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17,839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10,355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12,545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Piceance Basin</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33,111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101,995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116,689</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17,820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52,452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53,345</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7,150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18,081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23,025</w:t>
            </w: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99,653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107,619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304,303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322,701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31,196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57,234</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(6,953)</w:t>
            </w:r>
          </w:p>
        </w:tc>
      </w:tr>
      <w:tr>
        <w:trPr>
          <w:trHeight w:val="210"/>
        </w:trPr>
        <w:tc>
          <w:tcPr>
            <w:tcW w:w="59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100,187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127,479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331,281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372,982</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w:t>
      </w:r>
    </w:p>
    <w:p>
      <w:pPr>
        <w:spacing w:after="0" w:line="10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Counterparties accounting for more than 10% of total revenues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7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6560" w:type="dxa"/>
            <w:vAlign w:val="bottom"/>
            <w:gridSpan w:val="2"/>
          </w:tcPr>
          <w:p>
            <w:pPr>
              <w:ind w:left="614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13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revenues (1):</w:t>
            </w: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Counterparty A - Piceance Basin</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B - Williston Basin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r>
      <w:tr>
        <w:trPr>
          <w:trHeight w:val="218"/>
        </w:trPr>
        <w:tc>
          <w:tcPr>
            <w:tcW w:w="6560" w:type="dxa"/>
            <w:vAlign w:val="bottom"/>
            <w:gridSpan w:val="2"/>
          </w:tcPr>
          <w:p>
            <w:pPr>
              <w:spacing w:after="0"/>
              <w:rPr>
                <w:sz w:val="20"/>
                <w:szCs w:val="20"/>
                <w:color w:val="auto"/>
              </w:rPr>
            </w:pPr>
            <w:r>
              <w:rPr>
                <w:rFonts w:ascii="Arial" w:cs="Arial" w:eastAsia="Arial" w:hAnsi="Arial"/>
                <w:sz w:val="18"/>
                <w:szCs w:val="18"/>
                <w:color w:val="auto"/>
              </w:rPr>
              <w:t>Counterparty C - Barnett Shale</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bl>
    <w:p>
      <w:pPr>
        <w:ind w:right="5460" w:firstLine="8"/>
        <w:spacing w:after="0" w:line="265"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69"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Depreciation and amortization, including the amortization expense associated with our favorable and unfavorable (for 2018) gas gathering contracts as reported in Other revenues, by reportable segment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69"/>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(1):</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Utica Shale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1,913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5,744</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5,773</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4,788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14,958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16,903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DJ Basin</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2,349</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3,547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Piceance Basin</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35,399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35,168</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12,542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11,276</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2,273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6,855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6,819</w:t>
            </w: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26,917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81,083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78,288</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1,836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1,464</w:t>
            </w:r>
          </w:p>
        </w:tc>
      </w:tr>
      <w:tr>
        <w:trPr>
          <w:trHeight w:val="210"/>
        </w:trPr>
        <w:tc>
          <w:tcPr>
            <w:tcW w:w="59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27,640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26,592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82,919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79,752</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16"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and unfavorable (for 2018) gas gathering contracts as reported in Other revenues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Utica Shale</w:t>
            </w:r>
          </w:p>
        </w:tc>
        <w:tc>
          <w:tcPr>
            <w:tcW w:w="2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2,473</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3,922</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20,288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18,463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DJ Basin</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66,775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38,864</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43,422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67,640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Piceance Basin</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1,919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5,302</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914</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0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557</w:t>
            </w:r>
          </w:p>
        </w:tc>
      </w:tr>
      <w:tr>
        <w:trPr>
          <w:trHeight w:val="21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135,541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135,662</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20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16,122</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1,371</w:t>
            </w:r>
          </w:p>
        </w:tc>
      </w:tr>
      <w:tr>
        <w:trPr>
          <w:trHeight w:val="210"/>
        </w:trPr>
        <w:tc>
          <w:tcPr>
            <w:tcW w:w="5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20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151,663</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137,033</w:t>
            </w:r>
          </w:p>
        </w:tc>
      </w:tr>
      <w:tr>
        <w:trPr>
          <w:trHeight w:val="20"/>
        </w:trPr>
        <w:tc>
          <w:tcPr>
            <w:tcW w:w="5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nine months ended September 30, 2019, the amount includes sales tax reimbursements of $1.1 million.</w:t>
      </w:r>
    </w:p>
    <w:p>
      <w:pPr>
        <w:spacing w:after="0" w:line="88"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color w:val="auto"/>
        </w:rPr>
        <w:t>During the nine months ended September 30, 2019, Corporate and Other included cash paid of $0.7 million for corporate purposes; the remainder represents capital expenditures relating to the Project.</w:t>
      </w:r>
    </w:p>
    <w:p>
      <w:pPr>
        <w:spacing w:after="0" w:line="3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change in the Deferred Purchase Price Obligation fair value, (viii) impairments and (ix) other noncash expenses or losses, less other noncash income or gains. We define proportional adjusted EBITDA for our equity method investees as the product of (i) total revenues less total expenses, excluding impairments and other noncash income or expense items, and amortization for deferred contract costs; and (ii) our ownership interest in Ohio Gathering during the respective period.</w:t>
      </w:r>
    </w:p>
    <w:p>
      <w:pPr>
        <w:spacing w:after="0" w:line="7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natural gas and crude oil marketing services, transaction costs, interest expense, change in the Deferred Purchase Price Obligation fair value and income tax expense or benefit from segment adjusted EBITDA.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Utica Shale</w:t>
            </w:r>
          </w:p>
        </w:tc>
        <w:tc>
          <w:tcPr>
            <w:tcW w:w="1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20,697</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24,459</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10,435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29,584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29,583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Williston Basin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49,224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54,849</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6,554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12,043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Permian Basin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24,044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27,583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74,627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82,211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Barnett Shale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10,901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33,483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31,770</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0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5,550</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14,735</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18,769</w:t>
            </w:r>
          </w:p>
        </w:tc>
        <w:tc>
          <w:tcPr>
            <w:tcW w:w="0" w:type="dxa"/>
            <w:vAlign w:val="bottom"/>
          </w:tcPr>
          <w:p>
            <w:pPr>
              <w:spacing w:after="0"/>
              <w:rPr>
                <w:sz w:val="1"/>
                <w:szCs w:val="1"/>
                <w:color w:val="auto"/>
              </w:rPr>
            </w:pPr>
          </w:p>
        </w:tc>
      </w:tr>
      <w:tr>
        <w:trPr>
          <w:trHeight w:val="210"/>
        </w:trPr>
        <w:tc>
          <w:tcPr>
            <w:tcW w:w="484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0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78,806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82,740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233,397</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246,169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8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9" w:name="page20"/>
    <w:bookmarkEnd w:id="19"/>
    <w:p>
      <w:pPr>
        <w:ind w:right="640"/>
        <w:spacing w:after="0" w:line="27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69"/>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1"/>
        </w:trPr>
        <w:tc>
          <w:tcPr>
            <w:tcW w:w="592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Reconciliation of (loss) income before income taxes</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03"/>
        </w:trPr>
        <w:tc>
          <w:tcPr>
            <w:tcW w:w="5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and loss from equity method investees to total</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27"/>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of reportable segments' measures of profit: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193"/>
        </w:trPr>
        <w:tc>
          <w:tcPr>
            <w:tcW w:w="5920" w:type="dxa"/>
            <w:vAlign w:val="bottom"/>
          </w:tcPr>
          <w:p>
            <w:pPr>
              <w:spacing w:after="0" w:line="194" w:lineRule="exact"/>
              <w:rPr>
                <w:sz w:val="20"/>
                <w:szCs w:val="20"/>
                <w:color w:val="auto"/>
              </w:rPr>
            </w:pPr>
            <w:r>
              <w:rPr>
                <w:rFonts w:ascii="Arial" w:cs="Arial" w:eastAsia="Arial" w:hAnsi="Arial"/>
                <w:sz w:val="18"/>
                <w:szCs w:val="18"/>
                <w:color w:val="auto"/>
              </w:rPr>
              <w:t>(Loss) income before income taxes and loss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920" w:type="dxa"/>
            <w:vAlign w:val="bottom"/>
          </w:tcPr>
          <w:p>
            <w:pPr>
              <w:ind w:left="200"/>
              <w:spacing w:after="0"/>
              <w:rPr>
                <w:sz w:val="20"/>
                <w:szCs w:val="20"/>
                <w:color w:val="auto"/>
              </w:rPr>
            </w:pPr>
            <w:r>
              <w:rPr>
                <w:rFonts w:ascii="Arial" w:cs="Arial" w:eastAsia="Arial" w:hAnsi="Arial"/>
                <w:sz w:val="18"/>
                <w:szCs w:val="18"/>
                <w:color w:val="auto"/>
              </w:rPr>
              <w:t>from equity method investees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(9,947)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(40,183)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7,488</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Corporate and Other expense</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28,406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28,949</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19,335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14,862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54,803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44,821</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Deferred Purchase Price Obligation</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11,899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53,759</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27,640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82,919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79,752</w:t>
            </w:r>
          </w:p>
        </w:tc>
      </w:tr>
      <w:tr>
        <w:trPr>
          <w:trHeight w:val="193"/>
        </w:trPr>
        <w:tc>
          <w:tcPr>
            <w:tcW w:w="5920" w:type="dxa"/>
            <w:vAlign w:val="bottom"/>
          </w:tcPr>
          <w:p>
            <w:pPr>
              <w:ind w:left="140"/>
              <w:spacing w:after="0" w:line="194" w:lineRule="exact"/>
              <w:rPr>
                <w:sz w:val="20"/>
                <w:szCs w:val="20"/>
                <w:color w:val="auto"/>
              </w:rPr>
            </w:pPr>
            <w:r>
              <w:rPr>
                <w:rFonts w:ascii="Arial" w:cs="Arial" w:eastAsia="Arial" w:hAnsi="Arial"/>
                <w:sz w:val="18"/>
                <w:szCs w:val="18"/>
                <w:color w:val="auto"/>
              </w:rPr>
              <w:t>Proportional adjusted EBITDA for equity method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920" w:type="dxa"/>
            <w:vAlign w:val="bottom"/>
          </w:tcPr>
          <w:p>
            <w:pPr>
              <w:ind w:left="280"/>
              <w:spacing w:after="0"/>
              <w:rPr>
                <w:sz w:val="20"/>
                <w:szCs w:val="20"/>
                <w:color w:val="auto"/>
              </w:rPr>
            </w:pPr>
            <w:r>
              <w:rPr>
                <w:rFonts w:ascii="Arial" w:cs="Arial" w:eastAsia="Arial" w:hAnsi="Arial"/>
                <w:sz w:val="18"/>
                <w:szCs w:val="18"/>
                <w:color w:val="auto"/>
              </w:rPr>
              <w:t>investees</w:t>
            </w: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10,171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29,584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29,583</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2,868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5,370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6,188</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45,021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2,127</w:t>
            </w:r>
          </w:p>
        </w:tc>
      </w:tr>
      <w:tr>
        <w:trPr>
          <w:trHeight w:val="216"/>
        </w:trPr>
        <w:tc>
          <w:tcPr>
            <w:tcW w:w="5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16,211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10"/>
        </w:trPr>
        <w:tc>
          <w:tcPr>
            <w:tcW w:w="5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78,806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82,740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233,397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246,169</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Adjustments related to MVC shortfall payments recognize the earnings from MVC shortfall payments ratably over the term of the associated MVC (see Note 3). 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September 30, 2019</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54"/>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64"/>
              <w:spacing w:after="0" w:line="154" w:lineRule="exact"/>
              <w:rPr>
                <w:sz w:val="20"/>
                <w:szCs w:val="20"/>
                <w:color w:val="auto"/>
              </w:rPr>
            </w:pPr>
            <w:r>
              <w:rPr>
                <w:rFonts w:ascii="Arial" w:cs="Arial" w:eastAsia="Arial" w:hAnsi="Arial"/>
                <w:sz w:val="14"/>
                <w:szCs w:val="14"/>
                <w:b w:val="1"/>
                <w:bCs w:val="1"/>
                <w:color w:val="auto"/>
              </w:rPr>
              <w:t>Piceance</w:t>
            </w:r>
          </w:p>
        </w:tc>
        <w:tc>
          <w:tcPr>
            <w:tcW w:w="300" w:type="dxa"/>
            <w:vAlign w:val="bottom"/>
          </w:tcPr>
          <w:p>
            <w:pPr>
              <w:spacing w:after="0"/>
              <w:rPr>
                <w:sz w:val="13"/>
                <w:szCs w:val="13"/>
                <w:color w:val="auto"/>
              </w:rPr>
            </w:pPr>
          </w:p>
        </w:tc>
        <w:tc>
          <w:tcPr>
            <w:tcW w:w="1140" w:type="dxa"/>
            <w:vAlign w:val="bottom"/>
          </w:tcPr>
          <w:p>
            <w:pPr>
              <w:jc w:val="center"/>
              <w:ind w:right="322"/>
              <w:spacing w:after="0" w:line="154" w:lineRule="exact"/>
              <w:rPr>
                <w:sz w:val="20"/>
                <w:szCs w:val="20"/>
                <w:color w:val="auto"/>
              </w:rPr>
            </w:pPr>
            <w:r>
              <w:rPr>
                <w:rFonts w:ascii="Arial" w:cs="Arial" w:eastAsia="Arial" w:hAnsi="Arial"/>
                <w:sz w:val="14"/>
                <w:szCs w:val="14"/>
                <w:b w:val="1"/>
                <w:bCs w:val="1"/>
                <w:color w:val="auto"/>
              </w:rPr>
              <w:t>Barnett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Williston Basin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Basin</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1,453</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3,534</w:t>
            </w:r>
          </w:p>
        </w:tc>
      </w:tr>
      <w:tr>
        <w:trPr>
          <w:trHeight w:val="365"/>
        </w:trPr>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September 30, 2018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64"/>
              <w:spacing w:after="0" w:line="154" w:lineRule="exact"/>
              <w:rPr>
                <w:sz w:val="20"/>
                <w:szCs w:val="20"/>
                <w:color w:val="auto"/>
              </w:rPr>
            </w:pPr>
            <w:r>
              <w:rPr>
                <w:rFonts w:ascii="Arial" w:cs="Arial" w:eastAsia="Arial" w:hAnsi="Arial"/>
                <w:sz w:val="14"/>
                <w:szCs w:val="14"/>
                <w:b w:val="1"/>
                <w:bCs w:val="1"/>
                <w:color w:val="auto"/>
              </w:rPr>
              <w:t>Piceance</w:t>
            </w:r>
          </w:p>
        </w:tc>
        <w:tc>
          <w:tcPr>
            <w:tcW w:w="300" w:type="dxa"/>
            <w:vAlign w:val="bottom"/>
          </w:tcPr>
          <w:p>
            <w:pPr>
              <w:spacing w:after="0"/>
              <w:rPr>
                <w:sz w:val="13"/>
                <w:szCs w:val="13"/>
                <w:color w:val="auto"/>
              </w:rPr>
            </w:pPr>
          </w:p>
        </w:tc>
        <w:tc>
          <w:tcPr>
            <w:tcW w:w="1140" w:type="dxa"/>
            <w:vAlign w:val="bottom"/>
          </w:tcPr>
          <w:p>
            <w:pPr>
              <w:jc w:val="center"/>
              <w:ind w:right="322"/>
              <w:spacing w:after="0" w:line="154" w:lineRule="exact"/>
              <w:rPr>
                <w:sz w:val="20"/>
                <w:szCs w:val="20"/>
                <w:color w:val="auto"/>
              </w:rPr>
            </w:pPr>
            <w:r>
              <w:rPr>
                <w:rFonts w:ascii="Arial" w:cs="Arial" w:eastAsia="Arial" w:hAnsi="Arial"/>
                <w:sz w:val="14"/>
                <w:szCs w:val="14"/>
                <w:b w:val="1"/>
                <w:bCs w:val="1"/>
                <w:color w:val="auto"/>
              </w:rPr>
              <w:t>Barnett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Williston Basin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Basin</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2,032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(5,031)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r>
      <w:tr>
        <w:trPr>
          <w:trHeight w:val="365"/>
        </w:trPr>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Nine months ended September 30, 2019</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64"/>
              <w:spacing w:after="0" w:line="154" w:lineRule="exact"/>
              <w:rPr>
                <w:sz w:val="20"/>
                <w:szCs w:val="20"/>
                <w:color w:val="auto"/>
              </w:rPr>
            </w:pPr>
            <w:r>
              <w:rPr>
                <w:rFonts w:ascii="Arial" w:cs="Arial" w:eastAsia="Arial" w:hAnsi="Arial"/>
                <w:sz w:val="14"/>
                <w:szCs w:val="14"/>
                <w:b w:val="1"/>
                <w:bCs w:val="1"/>
                <w:color w:val="auto"/>
              </w:rPr>
              <w:t>Piceance</w:t>
            </w:r>
          </w:p>
        </w:tc>
        <w:tc>
          <w:tcPr>
            <w:tcW w:w="300" w:type="dxa"/>
            <w:vAlign w:val="bottom"/>
          </w:tcPr>
          <w:p>
            <w:pPr>
              <w:spacing w:after="0"/>
              <w:rPr>
                <w:sz w:val="13"/>
                <w:szCs w:val="13"/>
                <w:color w:val="auto"/>
              </w:rPr>
            </w:pPr>
          </w:p>
        </w:tc>
        <w:tc>
          <w:tcPr>
            <w:tcW w:w="1140" w:type="dxa"/>
            <w:vAlign w:val="bottom"/>
          </w:tcPr>
          <w:p>
            <w:pPr>
              <w:jc w:val="center"/>
              <w:ind w:right="322"/>
              <w:spacing w:after="0" w:line="154" w:lineRule="exact"/>
              <w:rPr>
                <w:sz w:val="20"/>
                <w:szCs w:val="20"/>
                <w:color w:val="auto"/>
              </w:rPr>
            </w:pPr>
            <w:r>
              <w:rPr>
                <w:rFonts w:ascii="Arial" w:cs="Arial" w:eastAsia="Arial" w:hAnsi="Arial"/>
                <w:sz w:val="14"/>
                <w:szCs w:val="14"/>
                <w:b w:val="1"/>
                <w:bCs w:val="1"/>
                <w:color w:val="auto"/>
              </w:rPr>
              <w:t>Barnett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Williston Basin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Basin</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2"/>
              <w:spacing w:after="0"/>
              <w:rPr>
                <w:sz w:val="20"/>
                <w:szCs w:val="20"/>
                <w:color w:val="auto"/>
              </w:rPr>
            </w:pPr>
            <w:r>
              <w:rPr>
                <w:rFonts w:ascii="Arial" w:cs="Arial" w:eastAsia="Arial" w:hAnsi="Arial"/>
                <w:sz w:val="18"/>
                <w:szCs w:val="18"/>
                <w:color w:val="auto"/>
              </w:rPr>
              <w:t>4,358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2,868</w:t>
            </w:r>
          </w:p>
        </w:tc>
      </w:tr>
      <w:tr>
        <w:trPr>
          <w:trHeight w:val="459"/>
        </w:trPr>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Nine months ended September 30, 2018</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64"/>
              <w:spacing w:after="0" w:line="154" w:lineRule="exact"/>
              <w:rPr>
                <w:sz w:val="20"/>
                <w:szCs w:val="20"/>
                <w:color w:val="auto"/>
              </w:rPr>
            </w:pPr>
            <w:r>
              <w:rPr>
                <w:rFonts w:ascii="Arial" w:cs="Arial" w:eastAsia="Arial" w:hAnsi="Arial"/>
                <w:sz w:val="14"/>
                <w:szCs w:val="14"/>
                <w:b w:val="1"/>
                <w:bCs w:val="1"/>
                <w:color w:val="auto"/>
              </w:rPr>
              <w:t>Piceance</w:t>
            </w:r>
          </w:p>
        </w:tc>
        <w:tc>
          <w:tcPr>
            <w:tcW w:w="300" w:type="dxa"/>
            <w:vAlign w:val="bottom"/>
          </w:tcPr>
          <w:p>
            <w:pPr>
              <w:spacing w:after="0"/>
              <w:rPr>
                <w:sz w:val="13"/>
                <w:szCs w:val="13"/>
                <w:color w:val="auto"/>
              </w:rPr>
            </w:pPr>
          </w:p>
        </w:tc>
        <w:tc>
          <w:tcPr>
            <w:tcW w:w="1140" w:type="dxa"/>
            <w:vAlign w:val="bottom"/>
          </w:tcPr>
          <w:p>
            <w:pPr>
              <w:jc w:val="center"/>
              <w:ind w:right="322"/>
              <w:spacing w:after="0" w:line="154" w:lineRule="exact"/>
              <w:rPr>
                <w:sz w:val="20"/>
                <w:szCs w:val="20"/>
                <w:color w:val="auto"/>
              </w:rPr>
            </w:pPr>
            <w:r>
              <w:rPr>
                <w:rFonts w:ascii="Arial" w:cs="Arial" w:eastAsia="Arial" w:hAnsi="Arial"/>
                <w:sz w:val="14"/>
                <w:szCs w:val="14"/>
                <w:b w:val="1"/>
                <w:bCs w:val="1"/>
                <w:color w:val="auto"/>
              </w:rPr>
              <w:t>Barnett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5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Williston Basin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Basin</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(5,094)</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w:t>
            </w:r>
          </w:p>
        </w:tc>
      </w:tr>
      <w:tr>
        <w:trPr>
          <w:trHeight w:val="787"/>
        </w:trPr>
        <w:tc>
          <w:tcPr>
            <w:tcW w:w="51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8"/>
        </w:trPr>
        <w:tc>
          <w:tcPr>
            <w:tcW w:w="5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5. PROPERTY, PLANT AND EQUIPMENT,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Details on property, plant and equipment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2,161,764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2,155,325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98,926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137,920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9,823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11,748</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53,283</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45,853</w:t>
            </w:r>
          </w:p>
        </w:tc>
      </w:tr>
      <w:tr>
        <w:trPr>
          <w:trHeight w:val="21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2,323,796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2,350,846</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424,515</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387,133</w:t>
            </w:r>
          </w:p>
        </w:tc>
      </w:tr>
      <w:tr>
        <w:trPr>
          <w:trHeight w:val="210"/>
        </w:trPr>
        <w:tc>
          <w:tcPr>
            <w:tcW w:w="7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1,899,281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1,963,713</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in the first quarter of 2019, we performed a recoverability assessment of certain assets within these reporting segments.</w:t>
      </w:r>
    </w:p>
    <w:p>
      <w:pPr>
        <w:spacing w:after="0" w:line="56"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Barnett Shale, we determined, in the first quarter of 2019, that certain compressor station assets would be shut down and decommissioned. As a result, we recorded an impairment charge of $9.7 million related to these assets in the first quarter of 2019. See Note 6 for additional details.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19,437</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18,567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58,049</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55,781</w:t>
            </w: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1,391</w:t>
            </w:r>
          </w:p>
        </w:tc>
        <w:tc>
          <w:tcPr>
            <w:tcW w:w="38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2,451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5,752</w:t>
            </w:r>
          </w:p>
        </w:tc>
        <w:tc>
          <w:tcPr>
            <w:tcW w:w="4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5,536</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AMORTIZING INTANGIBLE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4"/>
        </w:trPr>
        <w:tc>
          <w:tcPr>
            <w:tcW w:w="4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4"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7"/>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r>
      <w:tr>
        <w:trPr>
          <w:trHeight w:val="210"/>
        </w:trPr>
        <w:tc>
          <w:tcPr>
            <w:tcW w:w="4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9,304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Contract intangibles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(163,152)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115,296</w:t>
            </w: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0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160,460</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(41,287)</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119,173</w:t>
            </w:r>
          </w:p>
        </w:tc>
      </w:tr>
      <w:tr>
        <w:trPr>
          <w:trHeight w:val="210"/>
        </w:trPr>
        <w:tc>
          <w:tcPr>
            <w:tcW w:w="47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463,103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243,773</w:t>
            </w: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8"/>
        </w:trPr>
        <w:tc>
          <w:tcPr>
            <w:tcW w:w="4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4"/>
        </w:trPr>
        <w:tc>
          <w:tcPr>
            <w:tcW w:w="4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4"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7"/>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r>
      <w:tr>
        <w:trPr>
          <w:trHeight w:val="210"/>
        </w:trPr>
        <w:tc>
          <w:tcPr>
            <w:tcW w:w="4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10,290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Contract intangibles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(143,962)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134,486</w:t>
            </w: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0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166,209</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128,640</w:t>
            </w:r>
          </w:p>
        </w:tc>
      </w:tr>
      <w:tr>
        <w:trPr>
          <w:trHeight w:val="210"/>
        </w:trPr>
        <w:tc>
          <w:tcPr>
            <w:tcW w:w="47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468,852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273,416</w:t>
            </w: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March 2019, certain events occurred which indicated that certain long-lived assets relating to the Barnett Shale reporting segment could be impaired (see Note 5).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 in the first quarter of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favorable gas gathering contracts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r>
      <w:tr>
        <w:trPr>
          <w:trHeight w:val="342"/>
        </w:trPr>
        <w:tc>
          <w:tcPr>
            <w:tcW w:w="5920" w:type="dxa"/>
            <w:vAlign w:val="bottom"/>
          </w:tcPr>
          <w:p>
            <w:pPr>
              <w:spacing w:after="0"/>
              <w:rPr>
                <w:sz w:val="20"/>
                <w:szCs w:val="20"/>
                <w:color w:val="auto"/>
              </w:rPr>
            </w:pPr>
            <w:r>
              <w:rPr>
                <w:rFonts w:ascii="Arial" w:cs="Arial" w:eastAsia="Arial" w:hAnsi="Arial"/>
                <w:sz w:val="18"/>
                <w:szCs w:val="18"/>
                <w:color w:val="auto"/>
              </w:rPr>
              <w:t>We recognized amortization expense in costs and expenses as follows: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59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6,396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6,535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19,190</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19,605</w:t>
            </w: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26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1,573</w:t>
            </w:r>
          </w:p>
        </w:tc>
        <w:tc>
          <w:tcPr>
            <w:tcW w:w="3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4,694</w:t>
            </w:r>
          </w:p>
        </w:tc>
        <w:tc>
          <w:tcPr>
            <w:tcW w:w="3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4,818</w:t>
            </w:r>
          </w:p>
        </w:tc>
      </w:tr>
    </w:tbl>
    <w:p>
      <w:pPr>
        <w:spacing w:after="0" w:line="72"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The estimated aggregate annual amortization expected to be recognized for the remainder of 2019 and each of the four succeeding fiscal years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44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40" w:type="dxa"/>
            <w:vAlign w:val="bottom"/>
          </w:tcPr>
          <w:p>
            <w:pPr>
              <w:jc w:val="right"/>
              <w:ind w:right="99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2019</w:t>
            </w:r>
          </w:p>
        </w:tc>
        <w:tc>
          <w:tcPr>
            <w:tcW w:w="44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8,003</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2020</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32,073</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2021</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28,381</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2022</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25,314</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2023</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25,260</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0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evaluate goodwill for impairment annually on September 30. We also evaluate goodwill whenever events or circumstances indicate that it is more likely than not that the fair value of a reporting unit is less than its carrying value, including goodwill. If the reporting unit’s fair value exceeds its carrying value, including goodwill, we conclude that the goodwill of the reporting unit has not been impaired and no further work is performed. If we determine that the reporting unit’s carrying value, including goodwill, exceeds its fair value, we recognize the excess of the carrying value over the fair value as a goodwill impairment loss.</w:t>
      </w:r>
    </w:p>
    <w:p>
      <w:pPr>
        <w:spacing w:after="0" w:line="6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performed our annual goodwill impairment testing for the Mountaineer Midstream reporting unit as of September 30, 2019 using a combination of the income and market approaches. We determined that the fair value of the Mountaineer Midstream reporting unit did not exceed its carrying value, including goodwill. As a result, we recognized a goodwill impairment charge of $16.2 million for the three and nine months ended September 30, 2019.</w:t>
      </w:r>
    </w:p>
    <w:p>
      <w:pPr>
        <w:spacing w:after="0" w:line="6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Our impairment determinations, in the context of (i) our annual impairment evaluations and (ii) our other-than-annual impairment evaluations involved significant assumptions and judgments, as discussed in the 2018 Annual Report.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w:t>
      </w:r>
    </w:p>
    <w:p>
      <w:pPr>
        <w:spacing w:after="0" w:line="59" w:lineRule="exact"/>
        <w:rPr>
          <w:sz w:val="20"/>
          <w:szCs w:val="20"/>
          <w:color w:val="auto"/>
        </w:rPr>
      </w:pPr>
    </w:p>
    <w:p>
      <w:pPr>
        <w:ind w:right="8380" w:firstLine="8"/>
        <w:spacing w:after="0" w:line="361" w:lineRule="auto"/>
        <w:tabs>
          <w:tab w:leader="none" w:pos="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u w:val="single" w:color="auto"/>
          <w:color w:val="auto"/>
        </w:rPr>
        <w:t>Double E</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June 2019, we formed Double E in connection with the Project. Effective June 26, 2019, Summit Permian Transmission, a wholly owned and consolidated subsidiary of the Partnership, and our JV Partner executed the Agreement whereby Double E will provide natural gas transportation services from multiple receipt points in the Delaware Basin to various delivery points in and around the Waha Hub in Texas. In connection with the Agreement and the related Project, the Partnership contributed total assets of approximately $23.6 million in exchange for a 70% ownership interest in Double E and our JV Partner contributed $7.3 million of cash in exchange for a 30% ownership interest in Double E. Concurrent with these contributions, and in accordance with the Agreement, Double 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2" w:name="page23"/>
    <w:bookmarkEnd w:id="22"/>
    <w:p>
      <w:pPr>
        <w:ind w:right="80"/>
        <w:spacing w:after="0" w:line="276" w:lineRule="auto"/>
        <w:rPr>
          <w:sz w:val="20"/>
          <w:szCs w:val="20"/>
          <w:color w:val="auto"/>
        </w:rPr>
      </w:pPr>
      <w:r>
        <w:rPr>
          <w:rFonts w:ascii="Arial" w:cs="Arial" w:eastAsia="Arial" w:hAnsi="Arial"/>
          <w:sz w:val="18"/>
          <w:szCs w:val="18"/>
          <w:color w:val="auto"/>
        </w:rPr>
        <w:t>distributed $7.3 million to the Partnership. Subsequent to the formation of Double E, we also made additional cash investments of $11.3 million through September 2019.</w:t>
      </w:r>
    </w:p>
    <w:p>
      <w:pPr>
        <w:spacing w:after="0" w:line="3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Double E is deemed to be a variable interest entity as defined in GAAP. As of the date of the Agreement, Summit Permian Transmission is not deemed to be the primary beneficiary due to the JV Partner’s voting rights on significant matters. We account for our ownership interest in Double E as an equity method investment because we have significant influence over Double E. Our portion of Double E’s net assets, which was $28.3 million at September 30, 2019, is reported under the caption Investment in equity method investees on the unaudited condensed consolidated balance sheet.</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three and nine months ended September 30, 2019, other than the investment activity noted above, Double E did not have any results of operations given that the Project is currently under development.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Ohio Gathering</w:t>
      </w:r>
    </w:p>
    <w:p>
      <w:pPr>
        <w:spacing w:after="0" w:line="1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5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September 2019, an impairment loss was recognized by Ohio Gathering. Although we recognize activity for Ohio Gathering on a one-month lag, we recorded the impairment loss in our results of operations for the third quarter of 2019 because the information was available to us. We recorded our proportionate share of the impairment loss, or $0.8 million, in September 2019 in Loss from equity method investees in the unaudited condensed consolidated statements of operations.</w:t>
      </w:r>
    </w:p>
    <w:p>
      <w:pPr>
        <w:spacing w:after="0" w:line="63"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As a result of our joint venture partner funding a disproportionate amount of the capital calls during the nine months ended September 30, 2019, our ownership interest in Ohio Gathering decreased from 40.0% at December 31, 2018, to 38.8% at September 30, 2019.</w:t>
      </w:r>
    </w:p>
    <w:p>
      <w:pPr>
        <w:spacing w:after="0" w:line="37"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A reconciliation of our 38.8% ownership interest in Ohio Gathering to our investment per Ohio Gathering's books and records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September 30, 2019</w:t>
            </w:r>
          </w:p>
        </w:tc>
        <w:tc>
          <w:tcPr>
            <w:tcW w:w="30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620,496</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September cash distributions</w:t>
            </w: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3,478</w:t>
            </w:r>
          </w:p>
        </w:tc>
      </w:tr>
      <w:tr>
        <w:trPr>
          <w:trHeight w:val="216"/>
        </w:trPr>
        <w:tc>
          <w:tcPr>
            <w:tcW w:w="7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loss</w:t>
            </w:r>
          </w:p>
        </w:tc>
        <w:tc>
          <w:tcPr>
            <w:tcW w:w="2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r>
      <w:tr>
        <w:trPr>
          <w:trHeight w:val="216"/>
        </w:trPr>
        <w:tc>
          <w:tcPr>
            <w:tcW w:w="70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Basis difference</w:t>
            </w:r>
          </w:p>
        </w:tc>
        <w:tc>
          <w:tcPr>
            <w:tcW w:w="24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(106,818)</w:t>
            </w:r>
          </w:p>
        </w:tc>
      </w:tr>
      <w:tr>
        <w:trPr>
          <w:trHeight w:val="185"/>
        </w:trPr>
        <w:tc>
          <w:tcPr>
            <w:tcW w:w="7000" w:type="dxa"/>
            <w:vAlign w:val="bottom"/>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Investment in Ohio Gathering, net of basis difference,</w:t>
            </w:r>
          </w:p>
        </w:tc>
        <w:tc>
          <w:tcPr>
            <w:tcW w:w="2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27"/>
        </w:trPr>
        <w:tc>
          <w:tcPr>
            <w:tcW w:w="70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August 31, 2019</w:t>
            </w:r>
          </w:p>
        </w:tc>
        <w:tc>
          <w:tcPr>
            <w:tcW w:w="30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517,913</w:t>
            </w:r>
          </w:p>
        </w:tc>
      </w:tr>
      <w:tr>
        <w:trPr>
          <w:trHeight w:val="20"/>
        </w:trPr>
        <w:tc>
          <w:tcPr>
            <w:tcW w:w="700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center"/>
              <w:ind w:right="434"/>
              <w:spacing w:after="0"/>
              <w:rPr>
                <w:sz w:val="20"/>
                <w:szCs w:val="20"/>
                <w:color w:val="auto"/>
              </w:rPr>
            </w:pPr>
            <w:r>
              <w:rPr>
                <w:rFonts w:ascii="Arial" w:cs="Arial" w:eastAsia="Arial" w:hAnsi="Arial"/>
                <w:sz w:val="14"/>
                <w:szCs w:val="14"/>
                <w:b w:val="1"/>
                <w:bCs w:val="1"/>
                <w:color w:val="auto"/>
              </w:rPr>
              <w:t>Three months ended</w:t>
            </w:r>
          </w:p>
        </w:tc>
      </w:tr>
      <w:tr>
        <w:trPr>
          <w:trHeight w:val="177"/>
        </w:trPr>
        <w:tc>
          <w:tcPr>
            <w:tcW w:w="3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rPr>
              <w:t>August 31, 2019</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rPr>
              <w:t>August 31, 2018</w:t>
            </w:r>
          </w:p>
        </w:tc>
        <w:tc>
          <w:tcPr>
            <w:tcW w:w="880" w:type="dxa"/>
            <w:vAlign w:val="bottom"/>
            <w:tcBorders>
              <w:bottom w:val="single" w:sz="8" w:color="auto"/>
            </w:tcBorders>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OCC</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OGC</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OCC</w:t>
            </w:r>
          </w:p>
        </w:tc>
      </w:tr>
      <w:tr>
        <w:trPr>
          <w:trHeight w:val="214"/>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38,097</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2,267</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37,180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2,465</w:t>
            </w: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29,828</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2,536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31,751</w:t>
            </w: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2,323</w:t>
            </w: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Net income (loss)</w:t>
            </w:r>
          </w:p>
        </w:tc>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8,269</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5,429</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3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22"/>
                <w:szCs w:val="22"/>
                <w:color w:val="auto"/>
              </w:rPr>
            </w:pPr>
          </w:p>
        </w:tc>
        <w:tc>
          <w:tcPr>
            <w:tcW w:w="2340" w:type="dxa"/>
            <w:vAlign w:val="bottom"/>
            <w:gridSpan w:val="3"/>
          </w:tcPr>
          <w:p>
            <w:pPr>
              <w:jc w:val="center"/>
              <w:ind w:right="434"/>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3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rPr>
              <w:t>August 31, 2019</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rPr>
              <w:t>August 31, 2018</w:t>
            </w:r>
          </w:p>
        </w:tc>
        <w:tc>
          <w:tcPr>
            <w:tcW w:w="880" w:type="dxa"/>
            <w:vAlign w:val="bottom"/>
            <w:tcBorders>
              <w:bottom w:val="single" w:sz="8" w:color="auto"/>
            </w:tcBorders>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OCC</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OGC</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OCC</w:t>
            </w:r>
          </w:p>
        </w:tc>
      </w:tr>
      <w:tr>
        <w:trPr>
          <w:trHeight w:val="214"/>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106,825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6,606</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106,263</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7,024</w:t>
            </w: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81,651</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8,200</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94,044</w:t>
            </w: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6,422</w:t>
            </w: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Net income (loss)</w:t>
            </w:r>
          </w:p>
        </w:tc>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25,167</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12,213</w:t>
            </w:r>
          </w:p>
        </w:tc>
        <w:tc>
          <w:tcPr>
            <w:tcW w:w="56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116</w:t>
            </w:r>
          </w:p>
        </w:tc>
      </w:tr>
      <w:tr>
        <w:trPr>
          <w:trHeight w:val="531"/>
        </w:trPr>
        <w:tc>
          <w:tcPr>
            <w:tcW w:w="38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8"/>
        </w:trPr>
        <w:tc>
          <w:tcPr>
            <w:tcW w:w="38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9. DEFERRED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Utica</w:t>
            </w:r>
          </w:p>
        </w:tc>
        <w:tc>
          <w:tcPr>
            <w:tcW w:w="120" w:type="dxa"/>
            <w:vAlign w:val="bottom"/>
          </w:tcPr>
          <w:p>
            <w:pPr>
              <w:spacing w:after="0"/>
              <w:rPr>
                <w:sz w:val="14"/>
                <w:szCs w:val="14"/>
                <w:color w:val="auto"/>
              </w:rPr>
            </w:pPr>
          </w:p>
        </w:tc>
        <w:tc>
          <w:tcPr>
            <w:tcW w:w="8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Barnett</w:t>
            </w: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r>
      <w:tr>
        <w:trPr>
          <w:trHeight w:val="177"/>
        </w:trPr>
        <w:tc>
          <w:tcPr>
            <w:tcW w:w="3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current</w:t>
            </w:r>
          </w:p>
        </w:tc>
      </w:tr>
      <w:tr>
        <w:trPr>
          <w:trHeight w:val="210"/>
        </w:trPr>
        <w:tc>
          <w:tcPr>
            <w:tcW w:w="3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1"/>
        </w:trPr>
        <w:tc>
          <w:tcPr>
            <w:tcW w:w="3200" w:type="dxa"/>
            <w:vAlign w:val="bottom"/>
            <w:shd w:val="clear" w:color="auto" w:fill="CFF0FC"/>
          </w:tcPr>
          <w:p>
            <w:pPr>
              <w:jc w:val="center"/>
              <w:ind w:right="890"/>
              <w:spacing w:after="0" w:line="191" w:lineRule="exact"/>
              <w:rPr>
                <w:sz w:val="20"/>
                <w:szCs w:val="20"/>
                <w:color w:val="auto"/>
              </w:rPr>
            </w:pPr>
            <w:r>
              <w:rPr>
                <w:rFonts w:ascii="Arial" w:cs="Arial" w:eastAsia="Arial" w:hAnsi="Arial"/>
                <w:sz w:val="18"/>
                <w:szCs w:val="18"/>
                <w:b w:val="1"/>
                <w:bCs w:val="1"/>
                <w:color w:val="auto"/>
              </w:rPr>
              <w:t>Current deferred revenue,</w:t>
            </w: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27"/>
        </w:trPr>
        <w:tc>
          <w:tcPr>
            <w:tcW w:w="32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11,467</w:t>
            </w:r>
          </w:p>
        </w:tc>
      </w:tr>
      <w:tr>
        <w:trPr>
          <w:trHeight w:val="216"/>
        </w:trPr>
        <w:tc>
          <w:tcPr>
            <w:tcW w:w="32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20,726</w:t>
            </w:r>
          </w:p>
        </w:tc>
      </w:tr>
      <w:tr>
        <w:trPr>
          <w:trHeight w:val="216"/>
        </w:trPr>
        <w:tc>
          <w:tcPr>
            <w:tcW w:w="3200" w:type="dxa"/>
            <w:vAlign w:val="bottom"/>
            <w:shd w:val="clear" w:color="auto" w:fill="CFF0FC"/>
          </w:tcPr>
          <w:p>
            <w:pPr>
              <w:jc w:val="center"/>
              <w:ind w:right="830"/>
              <w:spacing w:after="0"/>
              <w:rPr>
                <w:sz w:val="20"/>
                <w:szCs w:val="20"/>
                <w:color w:val="auto"/>
              </w:rPr>
            </w:pPr>
            <w:r>
              <w:rPr>
                <w:rFonts w:ascii="Arial" w:cs="Arial" w:eastAsia="Arial" w:hAnsi="Arial"/>
                <w:sz w:val="18"/>
                <w:szCs w:val="18"/>
                <w:color w:val="auto"/>
                <w:w w:val="99"/>
              </w:rPr>
              <w:t>Less revenue recognized</w:t>
            </w:r>
          </w:p>
        </w:tc>
        <w:tc>
          <w:tcPr>
            <w:tcW w:w="9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15,324</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19,598</w:t>
            </w:r>
          </w:p>
        </w:tc>
      </w:tr>
      <w:tr>
        <w:trPr>
          <w:trHeight w:val="185"/>
        </w:trPr>
        <w:tc>
          <w:tcPr>
            <w:tcW w:w="3200" w:type="dxa"/>
            <w:vAlign w:val="bottom"/>
          </w:tcPr>
          <w:p>
            <w:pPr>
              <w:jc w:val="center"/>
              <w:ind w:right="890"/>
              <w:spacing w:after="0" w:line="185" w:lineRule="exact"/>
              <w:rPr>
                <w:sz w:val="20"/>
                <w:szCs w:val="20"/>
                <w:color w:val="auto"/>
              </w:rPr>
            </w:pPr>
            <w:r>
              <w:rPr>
                <w:rFonts w:ascii="Arial" w:cs="Arial" w:eastAsia="Arial" w:hAnsi="Arial"/>
                <w:sz w:val="18"/>
                <w:szCs w:val="18"/>
                <w:b w:val="1"/>
                <w:bCs w:val="1"/>
                <w:color w:val="auto"/>
              </w:rPr>
              <w:t>Current deferred revenue,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September 30, 2019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1,934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12,595</w:t>
            </w:r>
          </w:p>
        </w:tc>
      </w:tr>
      <w:tr>
        <w:trPr>
          <w:trHeight w:val="20"/>
        </w:trPr>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noncurrent deferred revenue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Utica</w:t>
            </w:r>
          </w:p>
        </w:tc>
        <w:tc>
          <w:tcPr>
            <w:tcW w:w="20" w:type="dxa"/>
            <w:vAlign w:val="bottom"/>
          </w:tcPr>
          <w:p>
            <w:pPr>
              <w:spacing w:after="0"/>
              <w:rPr>
                <w:sz w:val="14"/>
                <w:szCs w:val="14"/>
                <w:color w:val="auto"/>
              </w:rPr>
            </w:pPr>
          </w:p>
        </w:tc>
        <w:tc>
          <w:tcPr>
            <w:tcW w:w="8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Barnett</w:t>
            </w:r>
          </w:p>
        </w:tc>
        <w:tc>
          <w:tcPr>
            <w:tcW w:w="9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Shale</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DJ Basin</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Noncurrent deferred revenue,</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4,393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17,942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9,628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236</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Less reclassification to current</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4,775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1,235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185"/>
        </w:trPr>
        <w:tc>
          <w:tcPr>
            <w:tcW w:w="3820" w:type="dxa"/>
            <w:vAlign w:val="bottom"/>
          </w:tcPr>
          <w:p>
            <w:pPr>
              <w:spacing w:after="0" w:line="185" w:lineRule="exact"/>
              <w:rPr>
                <w:sz w:val="20"/>
                <w:szCs w:val="20"/>
                <w:color w:val="auto"/>
              </w:rPr>
            </w:pPr>
            <w:r>
              <w:rPr>
                <w:rFonts w:ascii="Arial" w:cs="Arial" w:eastAsia="Arial" w:hAnsi="Arial"/>
                <w:sz w:val="18"/>
                <w:szCs w:val="18"/>
                <w:b w:val="1"/>
                <w:bCs w:val="1"/>
                <w:color w:val="auto"/>
              </w:rPr>
              <w:t>Noncurrent deferred revenue,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200"/>
              <w:spacing w:after="0"/>
              <w:rPr>
                <w:sz w:val="20"/>
                <w:szCs w:val="20"/>
                <w:color w:val="auto"/>
              </w:rPr>
            </w:pPr>
            <w:r>
              <w:rPr>
                <w:rFonts w:ascii="Arial" w:cs="Arial" w:eastAsia="Arial" w:hAnsi="Arial"/>
                <w:sz w:val="18"/>
                <w:szCs w:val="18"/>
                <w:b w:val="1"/>
                <w:bCs w:val="1"/>
                <w:color w:val="auto"/>
              </w:rPr>
              <w:t>September 30, 2019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7,901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18,024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ind w:left="200"/>
              <w:spacing w:after="0"/>
              <w:rPr>
                <w:sz w:val="20"/>
                <w:szCs w:val="20"/>
                <w:color w:val="auto"/>
              </w:rPr>
            </w:pPr>
            <w:r>
              <w:rPr>
                <w:rFonts w:ascii="Arial" w:cs="Arial" w:eastAsia="Arial" w:hAnsi="Arial"/>
                <w:sz w:val="18"/>
                <w:szCs w:val="18"/>
                <w:color w:val="auto"/>
              </w:rPr>
              <w:t>9,586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39,834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10. DEBT</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820" w:type="dxa"/>
            <w:vAlign w:val="bottom"/>
          </w:tcPr>
          <w:p>
            <w:pPr>
              <w:spacing w:after="0"/>
              <w:rPr>
                <w:sz w:val="20"/>
                <w:szCs w:val="20"/>
                <w:color w:val="auto"/>
              </w:rPr>
            </w:pPr>
            <w:r>
              <w:rPr>
                <w:rFonts w:ascii="Arial" w:cs="Arial" w:eastAsia="Arial" w:hAnsi="Arial"/>
                <w:sz w:val="18"/>
                <w:szCs w:val="18"/>
                <w:color w:val="auto"/>
              </w:rPr>
              <w:t>Debt consisted of the following:</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40" w:type="dxa"/>
            <w:vAlign w:val="bottom"/>
            <w:gridSpan w:val="8"/>
            <w:shd w:val="clear" w:color="auto" w:fill="CFF0FC"/>
          </w:tcPr>
          <w:p>
            <w:pPr>
              <w:spacing w:after="0" w:line="194" w:lineRule="exact"/>
              <w:rPr>
                <w:sz w:val="20"/>
                <w:szCs w:val="20"/>
                <w:color w:val="auto"/>
              </w:rPr>
            </w:pPr>
            <w:r>
              <w:rPr>
                <w:rFonts w:ascii="Arial" w:cs="Arial" w:eastAsia="Arial" w:hAnsi="Arial"/>
                <w:sz w:val="18"/>
                <w:szCs w:val="18"/>
                <w:color w:val="auto"/>
              </w:rPr>
              <w:t>Summit Holdings' variable rate senior secured Revolving Credit Facility</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gridSpan w:val="8"/>
            <w:shd w:val="clear" w:color="auto" w:fill="CFF0FC"/>
          </w:tcPr>
          <w:p>
            <w:pPr>
              <w:ind w:left="200"/>
              <w:spacing w:after="0" w:line="202" w:lineRule="exact"/>
              <w:rPr>
                <w:sz w:val="20"/>
                <w:szCs w:val="20"/>
                <w:color w:val="auto"/>
              </w:rPr>
            </w:pPr>
            <w:r>
              <w:rPr>
                <w:rFonts w:ascii="Arial" w:cs="Arial" w:eastAsia="Arial" w:hAnsi="Arial"/>
                <w:sz w:val="18"/>
                <w:szCs w:val="18"/>
                <w:color w:val="auto"/>
              </w:rPr>
              <w:t>(4.80% at September 30, 2019 and 5.03% at December 31, 2018)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May 2022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466,000</w:t>
            </w:r>
          </w:p>
        </w:tc>
        <w:tc>
          <w:tcPr>
            <w:tcW w:w="0" w:type="dxa"/>
            <w:vAlign w:val="bottom"/>
          </w:tcPr>
          <w:p>
            <w:pPr>
              <w:spacing w:after="0"/>
              <w:rPr>
                <w:sz w:val="1"/>
                <w:szCs w:val="1"/>
                <w:color w:val="auto"/>
              </w:rPr>
            </w:pPr>
          </w:p>
        </w:tc>
      </w:tr>
      <w:tr>
        <w:trPr>
          <w:trHeight w:val="216"/>
        </w:trPr>
        <w:tc>
          <w:tcPr>
            <w:tcW w:w="5300" w:type="dxa"/>
            <w:vAlign w:val="bottom"/>
            <w:gridSpan w:val="7"/>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(1,801)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5140" w:type="dxa"/>
            <w:vAlign w:val="bottom"/>
            <w:gridSpan w:val="5"/>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500,000</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rPr>
              <w:t>(5,213)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1,392,986</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(1) Issuance costs are being amortized over the life of the notes.</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swing line loans. The Revolving Credit Facility has a $1.25 billion borrowing capacity, matures in May 2022, and includes a $ 250.0 million accordion feature. As of September 30, 2019, SMLP and the Guarantor Subsidiaries fully and unconditionally and jointly and severally guarantee, and pledge substantially all of their assets in support of, the indebtedness outstanding under the Revolving Credit Facility.</w:t>
      </w:r>
    </w:p>
    <w:p>
      <w:pPr>
        <w:spacing w:after="0" w:line="5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(the LIBOR rate), as defined in the credit agreement, plus an applicable margin ranging from 1.75% to 2.75%, with the commitment fee ranging from 0.30% to</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0.50% in each case based on our relative leverage at the time of determination. At September 30, 2019, the applicable margin under LIBOR borrowings was 2.75% and the interest rate was 4.80%. The unused portion of the Revolving Credit Facility totaled $640.9 million, subject to a commitment fee of 0.50%, after giving effect to the issuance thereunder of a $9.1 million outstanding but undrawn irrevocable standby letter of credit. See Note 16 for additional information on our letter of credit.</w:t>
      </w:r>
    </w:p>
    <w:p>
      <w:pPr>
        <w:spacing w:after="0" w:line="68"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As of September 30, 2019, we had $6.9 million of debt issuance costs attributable to our Revolving Credit Facility and related amendments which are included in Other noncurrent assets on the unaudited condensed consolidated balance sheet.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As of and during the nine months ended September 30, 2019, we were in compliance with the Revolving Credit Facility's financial covenants.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defaults or events of default during the nine months ended September 30, 2019.</w:t>
      </w:r>
    </w:p>
    <w:p>
      <w:pPr>
        <w:spacing w:after="0" w:line="9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 "Co-Issuers")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Notes (defined below), the “Senior Notes”).</w:t>
      </w:r>
    </w:p>
    <w:p>
      <w:pPr>
        <w:spacing w:after="0" w:line="42"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In February 2017, the Co-Issuers completed a public offering of $500.0 million of 5.75% senior unsecured notes (the "5.75% Senior Notes") maturing April 15, 2025.</w:t>
      </w:r>
    </w:p>
    <w:p>
      <w:pPr>
        <w:spacing w:after="0" w:line="2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T</w:t>
      </w:r>
      <w:r>
        <w:rPr>
          <w:rFonts w:ascii="Arial" w:cs="Arial" w:eastAsia="Arial" w:hAnsi="Arial"/>
          <w:sz w:val="18"/>
          <w:szCs w:val="18"/>
          <w:color w:val="auto"/>
        </w:rPr>
        <w:t>he Guarantor Subsidiaries are 100% owned by a subsidiary of SMLP. The Guarantor Subsidiaries and SMLP fully and unconditionally and</w:t>
      </w:r>
      <w:r>
        <w:rPr>
          <w:rFonts w:ascii="Times New Roman" w:cs="Times New Roman" w:eastAsia="Times New Roman" w:hAnsi="Times New Roman"/>
          <w:sz w:val="20"/>
          <w:szCs w:val="20"/>
          <w:color w:val="auto"/>
        </w:rPr>
        <w:t xml:space="preserve"> </w:t>
      </w:r>
      <w:r>
        <w:rPr>
          <w:rFonts w:ascii="Arial" w:cs="Arial" w:eastAsia="Arial" w:hAnsi="Arial"/>
          <w:sz w:val="18"/>
          <w:szCs w:val="18"/>
          <w:color w:val="auto"/>
        </w:rPr>
        <w:t>jointly and severally guarantee the 5.5% Senior Notes and the 5.75%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6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As of and during the nine months ended September 30, 2019, we were in compliance with the covenants governing our Senior Notes. There were no defaults or events of default during the nine months ended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and accounts receivable. We maintain our cash and cash equivalents in bank deposit accounts that frequently exceed federally insured limits. We have not experienced any losses in such accounts and do not believe we are exposed to any significant risk.</w:t>
      </w:r>
    </w:p>
    <w:p>
      <w:pPr>
        <w:spacing w:after="0" w:line="4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Accounts receivable primarily comprise amounts due for the gathering, compression,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or other forms of credit assurance for receivables from counterparties that are judged to have substandard credit, unless the credit risk can otherwise be mitigated. Our top five customers or counterparties accounted for 49% of total accounts receivable as of September 30, 2019, compared with 39% as of December 31, 2018.</w:t>
      </w:r>
    </w:p>
    <w:p>
      <w:pPr>
        <w:spacing w:after="0" w:line="80"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accounts receivable and trade accounts payable reported on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 approximates fair value due to their short-term maturities.</w:t>
      </w:r>
    </w:p>
    <w:p>
      <w:pPr>
        <w:spacing w:after="0" w:line="2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Deferred Purchase Price Obligation's carrying value is its fair value because carrying value represents the present value of the payment expected to be made in 2020. 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 (see Note 17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December 31, 2018</w:t>
            </w:r>
          </w:p>
        </w:tc>
      </w:tr>
      <w:tr>
        <w:trPr>
          <w:trHeight w:val="154"/>
        </w:trPr>
        <w:tc>
          <w:tcPr>
            <w:tcW w:w="4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center"/>
              <w:ind w:right="222"/>
              <w:spacing w:after="0" w:line="154"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01"/>
              <w:spacing w:after="0" w:line="154" w:lineRule="exact"/>
              <w:rPr>
                <w:sz w:val="20"/>
                <w:szCs w:val="20"/>
                <w:color w:val="auto"/>
              </w:rPr>
            </w:pPr>
            <w:r>
              <w:rPr>
                <w:rFonts w:ascii="Arial" w:cs="Arial" w:eastAsia="Arial" w:hAnsi="Arial"/>
                <w:sz w:val="14"/>
                <w:szCs w:val="14"/>
                <w:b w:val="1"/>
                <w:bCs w:val="1"/>
                <w:color w:val="auto"/>
              </w:rPr>
              <w:t>Estimated</w:t>
            </w:r>
          </w:p>
        </w:tc>
      </w:tr>
      <w:tr>
        <w:trPr>
          <w:trHeight w:val="162"/>
        </w:trPr>
        <w:tc>
          <w:tcPr>
            <w:tcW w:w="4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00" w:type="dxa"/>
            <w:vAlign w:val="bottom"/>
          </w:tcPr>
          <w:p>
            <w:pPr>
              <w:jc w:val="center"/>
              <w:ind w:right="22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2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4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4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3"/>
        </w:trPr>
        <w:tc>
          <w:tcPr>
            <w:tcW w:w="49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Summit Holdings 5.5% Senior Notes ($300.0 million</w:t>
            </w: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25"/>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principal)</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298,199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274,750</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297,638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286,625</w:t>
            </w:r>
          </w:p>
        </w:tc>
      </w:tr>
      <w:tr>
        <w:trPr>
          <w:trHeight w:val="193"/>
        </w:trPr>
        <w:tc>
          <w:tcPr>
            <w:tcW w:w="4920" w:type="dxa"/>
            <w:vAlign w:val="bottom"/>
          </w:tcPr>
          <w:p>
            <w:pPr>
              <w:spacing w:after="0" w:line="194" w:lineRule="exact"/>
              <w:rPr>
                <w:sz w:val="20"/>
                <w:szCs w:val="20"/>
                <w:color w:val="auto"/>
              </w:rPr>
            </w:pPr>
            <w:r>
              <w:rPr>
                <w:rFonts w:ascii="Arial" w:cs="Arial" w:eastAsia="Arial" w:hAnsi="Arial"/>
                <w:sz w:val="18"/>
                <w:szCs w:val="18"/>
                <w:color w:val="auto"/>
              </w:rPr>
              <w:t>Summit Holdings 5.75% Senior Notes ($500.0 million</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49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494,787</w:t>
            </w:r>
          </w:p>
        </w:tc>
        <w:tc>
          <w:tcPr>
            <w:tcW w:w="3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423,750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494,093</w:t>
            </w:r>
          </w:p>
        </w:tc>
        <w:tc>
          <w:tcPr>
            <w:tcW w:w="30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455,208</w:t>
            </w:r>
          </w:p>
        </w:tc>
      </w:tr>
      <w:tr>
        <w:trPr>
          <w:trHeight w:val="419"/>
        </w:trPr>
        <w:tc>
          <w:tcPr>
            <w:tcW w:w="49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8"/>
        </w:trPr>
        <w:tc>
          <w:tcPr>
            <w:tcW w:w="49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estimated fair value for the Senior Notes is based on an average of nonbinding broker quotes as of September 30, 2019 and December 31, 2018. The use of different market assumptions or valuation methodologies may have a material effect on the estimated fair value of the Senior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preferred limited partner, common limited partner and General Partner units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40" w:type="dxa"/>
            <w:vAlign w:val="bottom"/>
          </w:tcPr>
          <w:p>
            <w:pPr>
              <w:spacing w:after="0"/>
              <w:rPr>
                <w:sz w:val="15"/>
                <w:szCs w:val="15"/>
                <w:color w:val="auto"/>
              </w:rPr>
            </w:pPr>
          </w:p>
        </w:tc>
        <w:tc>
          <w:tcPr>
            <w:tcW w:w="320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Limited partners</w:t>
            </w:r>
          </w:p>
        </w:tc>
        <w:tc>
          <w:tcPr>
            <w:tcW w:w="14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54"/>
        </w:trPr>
        <w:tc>
          <w:tcPr>
            <w:tcW w:w="6740" w:type="dxa"/>
            <w:vAlign w:val="bottom"/>
          </w:tcPr>
          <w:p>
            <w:pPr>
              <w:spacing w:after="0"/>
              <w:rPr>
                <w:sz w:val="13"/>
                <w:szCs w:val="13"/>
                <w:color w:val="auto"/>
              </w:rPr>
            </w:pPr>
          </w:p>
        </w:tc>
        <w:tc>
          <w:tcPr>
            <w:tcW w:w="160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Series A Preferred</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Units</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Common</w:t>
            </w:r>
          </w:p>
        </w:tc>
        <w:tc>
          <w:tcPr>
            <w:tcW w:w="1480" w:type="dxa"/>
            <w:vAlign w:val="bottom"/>
          </w:tcPr>
          <w:p>
            <w:pPr>
              <w:jc w:val="right"/>
              <w:ind w:right="476"/>
              <w:spacing w:after="0"/>
              <w:rPr>
                <w:sz w:val="20"/>
                <w:szCs w:val="20"/>
                <w:color w:val="auto"/>
              </w:rPr>
            </w:pPr>
            <w:r>
              <w:rPr>
                <w:rFonts w:ascii="Arial" w:cs="Arial" w:eastAsia="Arial" w:hAnsi="Arial"/>
                <w:sz w:val="14"/>
                <w:szCs w:val="14"/>
                <w:b w:val="1"/>
                <w:bCs w:val="1"/>
                <w:color w:val="auto"/>
              </w:rPr>
              <w:t>Partner</w:t>
            </w:r>
          </w:p>
        </w:tc>
        <w:tc>
          <w:tcPr>
            <w:tcW w:w="0" w:type="dxa"/>
            <w:vAlign w:val="bottom"/>
          </w:tcPr>
          <w:p>
            <w:pPr>
              <w:spacing w:after="0"/>
              <w:rPr>
                <w:sz w:val="1"/>
                <w:szCs w:val="1"/>
                <w:color w:val="auto"/>
              </w:rPr>
            </w:pPr>
          </w:p>
        </w:tc>
      </w:tr>
      <w:tr>
        <w:trPr>
          <w:trHeight w:val="210"/>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Units, January 1, 2019</w:t>
            </w:r>
          </w:p>
        </w:tc>
        <w:tc>
          <w:tcPr>
            <w:tcW w:w="14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73,390,853</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Conversion of General Partner economic interests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8,750,000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units issued under the SMLP LTIP</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607,492</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Units, September 30, 2019</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82,748,345</w:t>
            </w: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 xml:space="preserve">GP/IDR Exchange. </w:t>
      </w:r>
      <w:r>
        <w:rPr>
          <w:rFonts w:ascii="Arial" w:cs="Arial" w:eastAsia="Arial" w:hAnsi="Arial"/>
          <w:sz w:val="18"/>
          <w:szCs w:val="18"/>
          <w:color w:val="auto"/>
        </w:rPr>
        <w:t>On March 22, 2019, we cancelled our IDRs and converted our 2% economic GP interest to a non-economic GP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for 8,750,000 SMLP common units which were issued to SMP Holdings in the Equity Restructuring. These units had a fair value of $84.5 million as of the transaction date (March 22, 2019). As a result of the Equity Restructuring, the general partner units and IDRs were eliminated, are no longer outstanding, and no longer participate in distributions of cash from SMLP. Energy Capital Partners continues to control the non-economic GP interest in SMLP.</w:t>
      </w:r>
    </w:p>
    <w:p>
      <w:pPr>
        <w:spacing w:after="0" w:line="64"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Immediately following the Equity Restructuring, SMP Holdings directly owned a 41.8% limited partner interest in SMLP and an affiliate of Energy Capital Partners II, LLC directly owned a 7.2% limited partner interest in SMLP.</w:t>
      </w:r>
    </w:p>
    <w:p>
      <w:pPr>
        <w:spacing w:after="0" w:line="37"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For the three and nine months ended September 30, 2018, our General Partner held IDRs that entitled it to receive increasing percentage allocations, up to a maximum of 50%, of the cash we distributed from operating surplus in excess of $0.46 per unit per quarter.</w:t>
      </w:r>
    </w:p>
    <w:p>
      <w:pPr>
        <w:spacing w:after="0" w:line="3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Our payment of IDRs as reported in distributions to unitholders – general partner in the statement of partners' capital during the three and nine months ended September 30 follow.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2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IDR payments</w:t>
            </w:r>
          </w:p>
        </w:tc>
        <w:tc>
          <w:tcPr>
            <w:tcW w:w="860" w:type="dxa"/>
            <w:vAlign w:val="bottom"/>
            <w:shd w:val="clear" w:color="auto" w:fill="CFF0FC"/>
          </w:tcPr>
          <w:p>
            <w:pPr>
              <w:jc w:val="right"/>
              <w:ind w:right="68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2,136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2,139</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6,400</w:t>
            </w:r>
          </w:p>
        </w:tc>
      </w:tr>
    </w:tbl>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calculating net income attributable to our General Partner in the statements of operations and partners' capital, the financial impact of IDRs was recognized in respect of the quarter for which the distributions were declared. For the purposes of calculating distributions to unitholders in the statements of partners' capital and cash flows, IDR payments were recognized in the quarter in which they are paid.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At-the-market Program. </w:t>
      </w:r>
      <w:r>
        <w:rPr>
          <w:rFonts w:ascii="Arial" w:cs="Arial" w:eastAsia="Arial" w:hAnsi="Arial"/>
          <w:sz w:val="18"/>
          <w:szCs w:val="18"/>
          <w:color w:val="auto"/>
        </w:rPr>
        <w:t>In 2017, we executed an equity distribution agreement and filed a prospectus and a prospectus supplement with the</w:t>
      </w:r>
    </w:p>
    <w:p>
      <w:pPr>
        <w:spacing w:after="0" w:line="4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SEC for the issuance and sale from time to time of SMLP common units having an aggregate offering price of up to $150.0 million (the "ATM Program"). These sales will be made (i) pursuant to the terms of the equity distribution agreement between us and the sales agents named therein and (ii) by means of ordinary brokers' transactions at market prices, in block transactions or as otherwise agreed between us and the sales agents. Sales of our common units may be made in negotiated transactions or transactions that are deemed to be at-the-market offerings as defined by SEC rules</w:t>
      </w:r>
      <w:r>
        <w:rPr>
          <w:rFonts w:ascii="Arial" w:cs="Arial" w:eastAsia="Arial" w:hAnsi="Arial"/>
          <w:sz w:val="18"/>
          <w:szCs w:val="18"/>
          <w:b w:val="1"/>
          <w:bCs w:val="1"/>
          <w:i w:val="1"/>
          <w:iCs w:val="1"/>
          <w:color w:val="auto"/>
        </w:rPr>
        <w:t>.</w:t>
      </w:r>
    </w:p>
    <w:p>
      <w:pPr>
        <w:spacing w:after="0" w:line="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and nine months ended September 30, 2019, there were no transactions under the ATM Program. Following the effectiveness of the ATM Program registration statement and after taking into account the aggregate sales price of common units sold under the ATM Program through September 30, 2019, we have the capacity to issue additional common units under the ATM Program up to an aggregate $132.3 million.</w:t>
      </w:r>
    </w:p>
    <w:p>
      <w:pPr>
        <w:spacing w:after="0" w:line="5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we issued 300,000 Series A Preferred Units representing limited partner interests in the Partnership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to the public of $1,000 per unit as described in the 2018 Annual Report.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We paid the following per-unit distributions during the three and nine months ended September 30: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Per-unit distributions to unitholders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0.2875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1.725</w:t>
            </w:r>
          </w:p>
        </w:tc>
      </w:tr>
    </w:tbl>
    <w:p>
      <w:pPr>
        <w:spacing w:after="0" w:line="8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October 24, 2019, the Board of Directors of our General Partner declared a distribution of $0.2875 per unit for the quarterly period ended September 30, 2019. This distribution, which totaled $23.8 million, will be paid on November 14, 2019 to unitholders of record at the close of business on November 7,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13. EARNINGS PER UNIT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 except per-unit amounts)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Allocation of net (loss) income among limited partner interests: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income attributable to limited partners</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54,151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Less net income attributable to Series A Preferred Units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income attributable to common limited partners</w:t>
            </w: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47,026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(64,137)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Weighted-average common units outstanding – basic</w:t>
            </w: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80,429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Effect of nonvested phantom units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Weighted-average common units outstanding – diluted</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82,718</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73,756</w:t>
            </w: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80,429</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73,283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(Loss) earnings per limited partner unit: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basic</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0.64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 – diluted</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900" w:type="dxa"/>
            <w:vAlign w:val="bottom"/>
          </w:tcPr>
          <w:p>
            <w:pPr>
              <w:spacing w:after="0" w:line="194" w:lineRule="exact"/>
              <w:rPr>
                <w:sz w:val="20"/>
                <w:szCs w:val="20"/>
                <w:color w:val="auto"/>
              </w:rPr>
            </w:pPr>
            <w:r>
              <w:rPr>
                <w:rFonts w:ascii="Arial" w:cs="Arial" w:eastAsia="Arial" w:hAnsi="Arial"/>
                <w:sz w:val="18"/>
                <w:szCs w:val="18"/>
                <w:color w:val="auto"/>
              </w:rPr>
              <w:t>Nonvested anti-dilutive phantom units excluded from the</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Pr>
          <w:p>
            <w:pPr>
              <w:ind w:left="180"/>
              <w:spacing w:after="0"/>
              <w:rPr>
                <w:sz w:val="20"/>
                <w:szCs w:val="20"/>
                <w:color w:val="auto"/>
              </w:rPr>
            </w:pPr>
            <w:r>
              <w:rPr>
                <w:rFonts w:ascii="Arial" w:cs="Arial" w:eastAsia="Arial" w:hAnsi="Arial"/>
                <w:sz w:val="18"/>
                <w:szCs w:val="18"/>
                <w:color w:val="auto"/>
              </w:rPr>
              <w:t>calculation of diluted EPU</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UNIT-BASED AND NONCASH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 of 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its affiliates. Items to note:</w:t>
      </w:r>
    </w:p>
    <w:p>
      <w:pPr>
        <w:spacing w:after="0" w:line="82" w:lineRule="exact"/>
        <w:rPr>
          <w:sz w:val="20"/>
          <w:szCs w:val="20"/>
          <w:color w:val="auto"/>
        </w:rPr>
      </w:pPr>
    </w:p>
    <w:p>
      <w:pPr>
        <w:ind w:left="800" w:right="160" w:hanging="400"/>
        <w:spacing w:after="0" w:line="268" w:lineRule="auto"/>
        <w:tabs>
          <w:tab w:leader="none" w:pos="8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March 2019, we granted 639,522 phantom units and associated distribution equivalent rights to employees in connection with our annual incentive compensation award cycle. These awards had a grant date fair value of $9.78 and vest ratably over a three-year </w:t>
      </w:r>
      <w:r>
        <w:rPr>
          <w:rFonts w:ascii="Times New Roman" w:cs="Times New Roman" w:eastAsia="Times New Roman" w:hAnsi="Times New Roman"/>
          <w:sz w:val="18"/>
          <w:szCs w:val="18"/>
          <w:color w:val="auto"/>
        </w:rPr>
        <w:t>period.</w:t>
      </w:r>
    </w:p>
    <w:p>
      <w:pPr>
        <w:spacing w:after="0" w:line="61" w:lineRule="exact"/>
        <w:rPr>
          <w:rFonts w:ascii="Times New Roman" w:cs="Times New Roman" w:eastAsia="Times New Roman" w:hAnsi="Times New Roman"/>
          <w:sz w:val="18"/>
          <w:szCs w:val="18"/>
          <w:color w:val="auto"/>
        </w:rPr>
      </w:pPr>
    </w:p>
    <w:p>
      <w:pPr>
        <w:ind w:left="800" w:right="80" w:hanging="400"/>
        <w:spacing w:after="0" w:line="255" w:lineRule="auto"/>
        <w:tabs>
          <w:tab w:leader="none" w:pos="8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we also issued 16,358 common units to our two independent directors in connection with their annual compensation plan. In May 2019, we issued an additional 9,580 units to an independent director in conjunction with his appointment to our Board of Directors.</w:t>
      </w:r>
    </w:p>
    <w:p>
      <w:pPr>
        <w:spacing w:after="0" w:line="55" w:lineRule="exact"/>
        <w:rPr>
          <w:rFonts w:ascii="Times New Roman" w:cs="Times New Roman" w:eastAsia="Times New Roman" w:hAnsi="Times New Roman"/>
          <w:sz w:val="18"/>
          <w:szCs w:val="18"/>
          <w:color w:val="auto"/>
        </w:rPr>
      </w:pPr>
    </w:p>
    <w:p>
      <w:pPr>
        <w:ind w:left="800" w:right="120" w:hanging="400"/>
        <w:spacing w:after="0" w:line="255" w:lineRule="auto"/>
        <w:tabs>
          <w:tab w:leader="none" w:pos="8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 September 2019, we granted 772,200 phantom units and associated distribution equivalent rights to our Chief Executive Officer pursuant to an employment agreement executed in August 2019. These awards had a grant date fair value of $5.18 and vest ratably over a three-year service period.</w:t>
      </w:r>
    </w:p>
    <w:p>
      <w:pPr>
        <w:spacing w:after="0" w:line="55"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nine months ended September 30, 2019, 572,884 phantom units vested.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As of September 30, 2019, approximately 1.8 </w:t>
      </w:r>
      <w:r>
        <w:rPr>
          <w:rFonts w:ascii="Times New Roman" w:cs="Times New Roman" w:eastAsia="Times New Roman" w:hAnsi="Times New Roman"/>
          <w:sz w:val="18"/>
          <w:szCs w:val="18"/>
          <w:color w:val="auto"/>
        </w:rPr>
        <w:t>million</w:t>
      </w:r>
      <w:r>
        <w:rPr>
          <w:rFonts w:ascii="Arial" w:cs="Arial" w:eastAsia="Arial" w:hAnsi="Arial"/>
          <w:sz w:val="18"/>
          <w:szCs w:val="18"/>
          <w:color w:val="auto"/>
        </w:rPr>
        <w:t xml:space="preserve"> common units remained available for future issuance under the SMLP LTIP.</w:t>
      </w:r>
    </w:p>
    <w:p>
      <w:pPr>
        <w:spacing w:after="0" w:line="11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See Notes 12 and 17 of the 2018 Annual Report.</w:t>
      </w:r>
    </w:p>
    <w:p>
      <w:pPr>
        <w:spacing w:after="0" w:line="104"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Our General Partner and its affiliates do not receive a management fee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connection with the management of our business, but will be reimbursed for expenses incurred on our behalf. Under our Partnership Agreement, we reimburse our General Partner and its 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28" w:name="page29"/>
    <w:bookmarkEnd w:id="28"/>
    <w:p>
      <w:pPr>
        <w:jc w:val="both"/>
        <w:ind w:right="40"/>
        <w:spacing w:after="0" w:line="276" w:lineRule="auto"/>
        <w:rPr>
          <w:sz w:val="20"/>
          <w:szCs w:val="20"/>
          <w:color w:val="auto"/>
        </w:rPr>
      </w:pPr>
      <w:r>
        <w:rPr>
          <w:rFonts w:ascii="Arial" w:cs="Arial" w:eastAsia="Arial" w:hAnsi="Arial"/>
          <w:sz w:val="18"/>
          <w:szCs w:val="18"/>
          <w:color w:val="auto"/>
        </w:rPr>
        <w:t>in good faith the expenses that are allocable to us. The "Due to affiliate" line item on the consolidated balance sheet represents the payables to our General Partner for expenses incurred by it and paid on our behalf.</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Expenses incurred by the General Partner and reimbursed by us under our Partnership Agreement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 expense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7,105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7,161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22,550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21,898</w:t>
            </w: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5,844</w:t>
            </w:r>
          </w:p>
        </w:tc>
        <w:tc>
          <w:tcPr>
            <w:tcW w:w="38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7,220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22,809</w:t>
            </w:r>
          </w:p>
        </w:tc>
        <w:tc>
          <w:tcPr>
            <w:tcW w:w="4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22,818</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 COMMITMENTS AND CONTINGENCIES</w:t>
      </w:r>
    </w:p>
    <w:p>
      <w:pPr>
        <w:spacing w:after="0" w:line="10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Topic 842, which we adopted on January 1, 2019, using the modified retrospective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modified retrospective method, the comparative information is not adjusted and is reported under the accounting standards in effect for those periods. See Note 2 for further discussion of the adoption.</w:t>
      </w:r>
    </w:p>
    <w:p>
      <w:pPr>
        <w:spacing w:after="0" w:line="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and Summit Investments lease certain office space and equipment under operating leases. We lease office space for our corporate headquarters as well as for offices in and around our gathering systems for terms of between 3 and 10 years. We lease the office space to limit exposure to risks related to ownership, such as fluctuations in real estate prices. In addition, we lease equipment primarily to support our operations in response to the needs of our gathering systems for terms of between 3 and 4 years. We and Summit Investments also lease vehicles under finance leases to support our operations in response to the needs of our gathering systems for a term of 3 years. We only lease from reputable companies and our leased assets are not specialized in our industry.</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Some of our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56" w:lineRule="exact"/>
        <w:rPr>
          <w:sz w:val="20"/>
          <w:szCs w:val="20"/>
          <w:color w:val="auto"/>
        </w:rPr>
      </w:pPr>
    </w:p>
    <w:p>
      <w:pPr>
        <w:jc w:val="both"/>
        <w:ind w:right="180"/>
        <w:spacing w:after="0" w:line="245" w:lineRule="auto"/>
        <w:rPr>
          <w:sz w:val="20"/>
          <w:szCs w:val="20"/>
          <w:color w:val="auto"/>
        </w:rPr>
      </w:pPr>
      <w:r>
        <w:rPr>
          <w:rFonts w:ascii="Arial" w:cs="Arial" w:eastAsia="Arial" w:hAnsi="Arial"/>
          <w:sz w:val="18"/>
          <w:szCs w:val="18"/>
          <w:color w:val="auto"/>
        </w:rPr>
        <w:t>We have options to extend the lease term of certain office space in Texas, Colorado and West Virginia. The beginning of the noncancelable lease period for these leases range from 2014 to 2018 and the lease period ends between 2020 and 2028. These lease agreements contain between one and three options to renew the lease for a period of between two and five years. As of September 30, 2019, the exercise of the renewal options for these leases are not reasonably certain and, as a result, the payments associated with these renewals are not included in the measurement of the lease liability and ROU asset.</w:t>
      </w:r>
    </w:p>
    <w:p>
      <w:pPr>
        <w:spacing w:after="0" w:line="64"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We also have options to extend the lease term of certain compression equipment used at the Summit Utica gathering system. The beginning of the noncancelable lease period for these leases is 2017 and the lease period ends in 2020. Upon expiration of the noncancelable lease period, we have the option to renew the leases on a month-to-month basis; we therefore have not included any amounts attributable to renewals in the measurement.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leases do not contain residual value guarantees.</w:t>
      </w:r>
    </w:p>
    <w:p>
      <w:pPr>
        <w:spacing w:after="0" w:line="104"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In accordance with the provisions in our Revolving Credit Facility, our aggregate finance lease obligations cannot exceed $50 million in any period of twelve consecutive calendar months during the life of such leases.</w:t>
      </w:r>
    </w:p>
    <w:p>
      <w:pPr>
        <w:spacing w:after="0" w:line="3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March 2019, we entered into an agreement with a third party vendor to construct a transmission line to deliver electric power to the new 60 MMcf/d processing plant in the DJ Basin. The project is expected to cost approximately $7.8 million and we made an up-front payment of $3.0 million, which is included in the Property, plant and equipment, net caption on the unaudited condensed consolidated balance sheet. During the second quarter of 2019, we exercised an option to increase the capacity of the transmission line for an additional cost of $4.3 million and we issued an irrevocable standby letter of credit payable to the vendor with an initial term of one year totaling $9.1 million, which reflects the expected remaining cost of the project. The letter of credit will automatically renew for successive twelve month periods following the initial term, subject to certain adjustments. Once construction is complete, the letter of credit will be adjusted to reflect the final construction cost. We determined the contract contained a lease based on the right to use the constructed transmission line to power the processing plant in the DJ Basin. The project is expected to be completed and the commencement date of the ROU asset will be on or before January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9" w:name="page30"/>
    <w:bookmarkEnd w:id="29"/>
    <w:p>
      <w:pPr>
        <w:ind w:right="300"/>
        <w:spacing w:after="0" w:line="276" w:lineRule="auto"/>
        <w:rPr>
          <w:sz w:val="20"/>
          <w:szCs w:val="20"/>
          <w:color w:val="auto"/>
        </w:rPr>
      </w:pPr>
      <w:r>
        <w:rPr>
          <w:rFonts w:ascii="Arial" w:cs="Arial" w:eastAsia="Arial" w:hAnsi="Arial"/>
          <w:sz w:val="18"/>
          <w:szCs w:val="18"/>
          <w:color w:val="auto"/>
        </w:rPr>
        <w:t>Our significant assumptions or judgments include the determination of whether a contract contains a lease and the discount rate used in our lease liabilities.</w:t>
      </w:r>
    </w:p>
    <w:p>
      <w:pPr>
        <w:spacing w:after="0" w:line="37"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rate implicit in our lease contracts is not readily determinable. In determining the discount rate used in our lease liabilities, we analyzed certain factors in our incremental borrowing rate, including collateral assumptions and the term used. Our incremental borrowing rate on the Revolving Credit Facility was 5.03% at December 31, 2018, which reflects the fixed rate at which we could borrow a similar amount, for a similar term and with similar collateral as in the lease contracts at the commencement date.</w:t>
      </w:r>
    </w:p>
    <w:p>
      <w:pPr>
        <w:spacing w:after="0" w:line="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adopted the following practical expedients in Topic 842 for all asset classes, which included (i) not being required to reassess whether any expired or existing contracts are or contain leases; (ii) not being required to reassess the lease classification for any expired or existing leases (that is, all existing leases that were classified as operating leases in accordance with Topic 840 will be classified as operating leases, and all existing leases that were classified as capital leases in accordance with Topic 840 will be classified as finance leases); (iii) not being required to reassess initial direct costs for any existing leases; (iv) not recognizing ROU assets and lease liabilities that arise from short-term leases of twelve months or less for any class of underlying asset; (v) not allocating consideration in a contract between lease and nonlease (e.g., maintenance services) components for our leased office space and equipment; and (vi) not evaluating existing or expired land easements that were not previously accounted for as leases under Topic 840.</w:t>
      </w:r>
    </w:p>
    <w:p>
      <w:pPr>
        <w:spacing w:after="0" w:line="7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ROU assets (included in the Property, plant and equipment, net caption on our unaudited condensed consolidated balance sheet) and lease liabilities (included in the Other current liabilities and Other noncurrent liabilities captions on our unaudited condensed consolidated balance sheet)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jc w:val="center"/>
              <w:ind w:right="7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7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center"/>
              <w:ind w:right="73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6"/>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Lease cost and Other information follow:</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193"/>
        </w:trPr>
        <w:tc>
          <w:tcPr>
            <w:tcW w:w="7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20" w:type="dxa"/>
            <w:vAlign w:val="bottom"/>
            <w:gridSpan w:val="5"/>
          </w:tcPr>
          <w:p>
            <w:pPr>
              <w:jc w:val="right"/>
              <w:ind w:right="169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ROU assets (included in depreciation and amortization)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Interest on lease liabilities (included in interest expense)</w:t>
            </w:r>
          </w:p>
        </w:tc>
        <w:tc>
          <w:tcPr>
            <w:tcW w:w="200" w:type="dxa"/>
            <w:vAlign w:val="bottom"/>
          </w:tcPr>
          <w:p>
            <w:pPr>
              <w:spacing w:after="0"/>
              <w:rPr>
                <w:sz w:val="18"/>
                <w:szCs w:val="18"/>
                <w:color w:val="auto"/>
              </w:rPr>
            </w:pP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(included in general and administrative expense)</w:t>
            </w:r>
          </w:p>
        </w:tc>
        <w:tc>
          <w:tcPr>
            <w:tcW w:w="20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409"/>
        </w:trPr>
        <w:tc>
          <w:tcPr>
            <w:tcW w:w="7000" w:type="dxa"/>
            <w:vAlign w:val="bottom"/>
            <w:gridSpan w:val="2"/>
          </w:tcPr>
          <w:p>
            <w:pPr>
              <w:jc w:val="right"/>
              <w:ind w:right="109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2"/>
        </w:trPr>
        <w:tc>
          <w:tcPr>
            <w:tcW w:w="8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ind w:right="454"/>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8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rPr>
              <w:t>September 30, 2019</w:t>
            </w:r>
          </w:p>
        </w:tc>
      </w:tr>
      <w:tr>
        <w:trPr>
          <w:trHeight w:val="210"/>
        </w:trPr>
        <w:tc>
          <w:tcPr>
            <w:tcW w:w="8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jc w:val="center"/>
              <w:ind w:right="43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2,536</w:t>
            </w:r>
          </w:p>
        </w:tc>
      </w:tr>
      <w:tr>
        <w:trPr>
          <w:trHeight w:val="216"/>
        </w:trPr>
        <w:tc>
          <w:tcPr>
            <w:tcW w:w="872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340" w:type="dxa"/>
            <w:vAlign w:val="bottom"/>
          </w:tcPr>
          <w:p>
            <w:pPr>
              <w:spacing w:after="0"/>
              <w:rPr>
                <w:sz w:val="18"/>
                <w:szCs w:val="18"/>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80</w:t>
            </w: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1,368</w:t>
            </w:r>
          </w:p>
        </w:tc>
      </w:tr>
      <w:tr>
        <w:trPr>
          <w:trHeight w:val="193"/>
        </w:trPr>
        <w:tc>
          <w:tcPr>
            <w:tcW w:w="8720" w:type="dxa"/>
            <w:vAlign w:val="bottom"/>
          </w:tcPr>
          <w:p>
            <w:pPr>
              <w:spacing w:after="0" w:line="194" w:lineRule="exact"/>
              <w:rPr>
                <w:sz w:val="20"/>
                <w:szCs w:val="20"/>
                <w:color w:val="auto"/>
              </w:rPr>
            </w:pPr>
            <w:r>
              <w:rPr>
                <w:rFonts w:ascii="Arial" w:cs="Arial" w:eastAsia="Arial" w:hAnsi="Arial"/>
                <w:sz w:val="18"/>
                <w:szCs w:val="18"/>
                <w:color w:val="auto"/>
              </w:rPr>
              <w:t>ROU assets obtained in exchange for new operating lease</w:t>
            </w:r>
          </w:p>
        </w:tc>
        <w:tc>
          <w:tcPr>
            <w:tcW w:w="34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25"/>
        </w:trPr>
        <w:tc>
          <w:tcPr>
            <w:tcW w:w="872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9"/>
                <w:szCs w:val="19"/>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1,218</w:t>
            </w:r>
          </w:p>
        </w:tc>
      </w:tr>
      <w:tr>
        <w:trPr>
          <w:trHeight w:val="193"/>
        </w:trPr>
        <w:tc>
          <w:tcPr>
            <w:tcW w:w="87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ROU assets obtained in exchange for new finance lease</w:t>
            </w:r>
          </w:p>
        </w:tc>
        <w:tc>
          <w:tcPr>
            <w:tcW w:w="34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r>
      <w:tr>
        <w:trPr>
          <w:trHeight w:val="225"/>
        </w:trPr>
        <w:tc>
          <w:tcPr>
            <w:tcW w:w="8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1,350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340" w:type="dxa"/>
            <w:vAlign w:val="bottom"/>
          </w:tcPr>
          <w:p>
            <w:pPr>
              <w:spacing w:after="0"/>
              <w:rPr>
                <w:sz w:val="18"/>
                <w:szCs w:val="18"/>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5.2</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3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8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We recognize total lease expense incurred or allocated to us in general and administrative expenses. Lease expense related to operating leases, including lease expense incurred on our behalf and allocated to us,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958</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957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2,888</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2,935</w:t>
            </w:r>
          </w:p>
        </w:tc>
      </w:tr>
    </w:tbl>
    <w:p>
      <w:pPr>
        <w:spacing w:after="0" w:line="200" w:lineRule="exact"/>
        <w:rPr>
          <w:sz w:val="20"/>
          <w:szCs w:val="20"/>
          <w:color w:val="auto"/>
        </w:rPr>
      </w:pPr>
    </w:p>
    <w:p>
      <w:pPr>
        <w:spacing w:after="0" w:line="223"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Future minimum lease payments due under noncancelable leases for the remainder of 2019 and each of the five succeeding fiscal years and thereafter,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September 30, 2019</w:t>
            </w:r>
          </w:p>
        </w:tc>
      </w:tr>
      <w:tr>
        <w:trPr>
          <w:trHeight w:val="235"/>
        </w:trPr>
        <w:tc>
          <w:tcPr>
            <w:tcW w:w="5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20"/>
                <w:szCs w:val="20"/>
                <w:color w:val="auto"/>
              </w:rPr>
            </w:pPr>
          </w:p>
        </w:tc>
      </w:tr>
      <w:tr>
        <w:trPr>
          <w:trHeight w:val="191"/>
        </w:trPr>
        <w:tc>
          <w:tcPr>
            <w:tcW w:w="5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16"/>
                <w:szCs w:val="16"/>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6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2020</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1,606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1,368</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640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2022</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79</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2024</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3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3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5,548</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2,520</w:t>
            </w: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due under noncancelable operating leases (under ASC 840) at December 31, 2018,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2020</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2022</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future minimum lease payments</w:t>
            </w:r>
          </w:p>
        </w:tc>
        <w:tc>
          <w:tcPr>
            <w:tcW w:w="50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040" w:type="dxa"/>
            <w:vAlign w:val="bottom"/>
            <w:vMerge w:val="restart"/>
          </w:tcPr>
          <w:p>
            <w:pPr>
              <w:jc w:val="right"/>
              <w:ind w:right="349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3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6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Future payments due under finance leases (under ASC 840) at December 31, 2018,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9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r>
      <w:tr>
        <w:trPr>
          <w:trHeight w:val="210"/>
        </w:trPr>
        <w:tc>
          <w:tcPr>
            <w:tcW w:w="9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1,473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902</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174</w:t>
            </w:r>
          </w:p>
        </w:tc>
      </w:tr>
      <w:tr>
        <w:trPr>
          <w:trHeight w:val="210"/>
        </w:trPr>
        <w:tc>
          <w:tcPr>
            <w:tcW w:w="9400" w:type="dxa"/>
            <w:vAlign w:val="bottom"/>
          </w:tcPr>
          <w:p>
            <w:pPr>
              <w:ind w:left="140"/>
              <w:spacing w:after="0"/>
              <w:rPr>
                <w:sz w:val="20"/>
                <w:szCs w:val="20"/>
                <w:color w:val="auto"/>
              </w:rPr>
            </w:pPr>
            <w:r>
              <w:rPr>
                <w:rFonts w:ascii="Arial" w:cs="Arial" w:eastAsia="Arial" w:hAnsi="Arial"/>
                <w:sz w:val="18"/>
                <w:szCs w:val="18"/>
                <w:color w:val="auto"/>
              </w:rPr>
              <w:t>Total finance lease obligations</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2,549</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present value of finance lease obligations</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2,445</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current portion (included in Other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Finance lease obligations, less current portion (included in Other noncurrent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1,039</w:t>
            </w:r>
          </w:p>
        </w:tc>
      </w:tr>
      <w:tr>
        <w:trPr>
          <w:trHeight w:val="20"/>
        </w:trPr>
        <w:tc>
          <w:tcPr>
            <w:tcW w:w="9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5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described in the 2018 Annual Report, in 2015, Summit Investments learned of the rupture of a four-inch produced water gathering pipeline on the Meadowlark Midstream system near Williston, North Dakota. The incident, which was covered by Summit Investments' insurance policies, was subject to maximum coverage of $25.0 million from its pollution liability insurance policy and $200.0 million from its property and business interruption insurance policy. Summit Investments exhausted the $25.0 million pollution liability policy in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aggregate accrued environmental remediation liabilities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Total</w:t>
            </w:r>
          </w:p>
        </w:tc>
      </w:tr>
      <w:tr>
        <w:trPr>
          <w:trHeight w:val="210"/>
        </w:trPr>
        <w:tc>
          <w:tcPr>
            <w:tcW w:w="96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9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January 1, 2019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5,636</w:t>
            </w:r>
          </w:p>
        </w:tc>
      </w:tr>
      <w:tr>
        <w:trPr>
          <w:trHeight w:val="216"/>
        </w:trPr>
        <w:tc>
          <w:tcPr>
            <w:tcW w:w="9660" w:type="dxa"/>
            <w:vAlign w:val="bottom"/>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16"/>
        </w:trPr>
        <w:tc>
          <w:tcPr>
            <w:tcW w:w="9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accruals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767</w:t>
            </w:r>
          </w:p>
        </w:tc>
      </w:tr>
      <w:tr>
        <w:trPr>
          <w:trHeight w:val="210"/>
        </w:trPr>
        <w:tc>
          <w:tcPr>
            <w:tcW w:w="966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September 30, 2019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4,378</w:t>
            </w:r>
          </w:p>
        </w:tc>
      </w:tr>
      <w:tr>
        <w:trPr>
          <w:trHeight w:val="20"/>
        </w:trPr>
        <w:tc>
          <w:tcPr>
            <w:tcW w:w="9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September 30, 2019, we have recognized (i) a current liability for remediation effort expenditures expected to be incurred within the next 12 months and (ii) a noncurrent liability for estimated remediation expenditures and fines expected to be incurred subsequent to September 30, 2020. Each of these amounts represent our best estimate for costs expected to be incurred. Neither of these amounts has been discounted to its present value.</w:t>
      </w:r>
    </w:p>
    <w:p>
      <w:pPr>
        <w:spacing w:after="0" w:line="6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While we cannot predict the ultimate outcome of this matter with certainty for Summit Investments or Meadowlark Midstream, especially as it relates to any material liability as a result of any governmental proceeding related to the incident, we believe at this time that it is unlikely that SMLP or its General Partner will be subject to any material liability as a result of any governmental proceeding related to the rupture.</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17. DISPOSITIONS, ACQUISITIONS AND DROP DOWN TRANSACTIONS</w:t>
      </w:r>
    </w:p>
    <w:p>
      <w:pPr>
        <w:spacing w:after="0" w:line="10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entered into two Purchase and Sale Agreements (the “Tioga PSAs”) with Hess Infrastructure Partners LP and Hess North Dakota Pipelines LLC (collectively, “Hess Infrastructure”), pursuant to which Summit agreed to sell the Tioga Midstream system to Hess Infrastructure for a combined cash purchase price of $90 million, subject to adjustments as provided in the Tioga PSAs (the “Tioga Midstream Sale”). On March 22, 2019, Summit closed the Tioga Midstream Sale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natural gas, crude oil and produced water gathering systems located in the Utica Shale, the Williston Basin and the DJ Basin, as well as ownership interests in Ohio Gathering.</w:t>
      </w:r>
    </w:p>
    <w:p>
      <w:pPr>
        <w:spacing w:after="0" w:line="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net consideration paid and recognized in connection with the 2016 Drop Down (i) consisted of a cash payment to SMP Holdings of $360.0 million funded with borrowings under our Revolving Credit Facility and a $0.6 million working capital adjustment received in June 2016 (the “Initial Payment”) and (ii) includes the Deferred Purchase Price Obligation payment due in 2020.</w:t>
      </w:r>
    </w:p>
    <w:p>
      <w:pPr>
        <w:spacing w:after="0" w:line="4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present value of the Deferred Purchase Price Obligation is reflected as a liability on our balance sheet until paid. As of September 30, 2019, the Remaining Consideration, which reflects the net present value of the $303.5 million Deferred Purchase Price Obligation, was $295.8 million on the unaudited condensed consolidated balance sheet using a discount rate of 5.25%.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06"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We have evaluated subsequent events for recognition or disclosure in the unaudited condensed consolidated financial statements and no events have occurred that require recognition or disclosure, except for the following.</w:t>
      </w:r>
    </w:p>
    <w:p>
      <w:pPr>
        <w:spacing w:after="0" w:line="3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November 7, 2019, Summit Midstream Partners, LP (the “Partnership”) and Summit Midstream Partners Holdings, LLC (“SMP Holdings”) entered into a second amendment (the “Second Amendment”) to that certain Contribution Agreement between SMP Holdings and the Partnership dated February 25, 2016, as amended, pursuant to which the Partnership shall, on or before November 15, 2019, make a cash payment of $ 51.75 million and issue 10,714,285 Common Units to SMP Holdings (the “November 2019 Prepayment”). In addition, the parties have agreed to further reduce by $19.25 million the remaining portion of the consideration due to SMP Holdings under the Contribution Agreement. Following the Second Amendment and the November 2019 Prepayment, the remaining portion of the consideration due to SMP Holdings will be $180.75 million (the “Remaining Consideration”). The parties have also agreed to extend the final date by which the Partnership is obligated to deliver the Remaining Consideration to January 15, 2022. The Remaining Consideration remains payable to SMP Holdings in (i) cash, (ii) the Partnership’s common units or (iii) a combination of cash and the Partnership’s common units, and interest continues to accrue (and is payable quarterly in cash) at a rate of 8% per annum on any portion of the Remaining Consideration that remains unpaid after March 31, 2020. The form(s) of Remaining Consideration to be delivered by the Partnership to SMP Holdings continue to be determinable by the Partnership in its sole discretion. The terms of the Second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33" w:name="page34"/>
    <w:bookmarkEnd w:id="33"/>
    <w:p>
      <w:pPr>
        <w:ind w:right="580"/>
        <w:spacing w:after="0" w:line="276" w:lineRule="auto"/>
        <w:rPr>
          <w:sz w:val="20"/>
          <w:szCs w:val="20"/>
          <w:color w:val="auto"/>
        </w:rPr>
      </w:pPr>
      <w:r>
        <w:rPr>
          <w:rFonts w:ascii="Arial" w:cs="Arial" w:eastAsia="Arial" w:hAnsi="Arial"/>
          <w:sz w:val="18"/>
          <w:szCs w:val="18"/>
          <w:color w:val="auto"/>
        </w:rPr>
        <w:t>Amendment were approved by the conflicts committee of the board of directors of the general partner of the Partnership, which consists entirely of independent directors.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On October 18, 2019, a petition was filed in the District Court of Tarrant County, Texas by Sage Natural Resources, LLC (the “plaintiff”) against us and certain of our affiliates. The plaintiff is a party to a gathering agreement with DFW Midstream and a gas marketing agreement with Summit Midstream Marketing, LLC. In its petition, the plaintiff alleges various claims relating to the fees it was charged pursuant to the terms of these agreements, including breach of contract, fraud, fraudulent inducement, tortious interference, and negligent misrepresentation, as well as certain discriminatory rate claims under Texas law. The plaintiff seeks a rescission of the gas marketing agreement and the gas gathering agreement, as well as actual and exemplary damages and attorney’s fees. While we cannot predict the ultimate outcome of this matter with certainty, we do not believe that it is likely that we or our affiliates will be subject to any material liability as a result of this matter and are defending ourselves vigorously against the plaintiff’s claims.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54" w:right="27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MD&amp;A is intended to inform the reader about matters affecting the financial condition and results of operations of SMLP and its subsidiaries for the periods since December 31, 2018.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2018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Overview</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Outlook</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How We Evaluate Our Operations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Liquidity and Capital Resources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Critical Accounting Estimates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Forward-Looking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are a growth-oriented limited partnership focused on developing, owning and operating midstream energy infrastructure assets that are strategically located in the core producing areas of unconventional resource basins, primarily shale formations, in the continental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0"/>
        <w:spacing w:after="0" w:line="24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Core Focus Areas – production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63" w:lineRule="exact"/>
        <w:rPr>
          <w:rFonts w:ascii="Times New Roman" w:cs="Times New Roman" w:eastAsia="Times New Roman" w:hAnsi="Times New Roman"/>
          <w:sz w:val="18"/>
          <w:szCs w:val="18"/>
          <w:color w:val="auto"/>
        </w:rPr>
      </w:pPr>
    </w:p>
    <w:p>
      <w:pPr>
        <w:ind w:left="800" w:right="140" w:hanging="400"/>
        <w:spacing w:after="0" w:line="260" w:lineRule="auto"/>
        <w:tabs>
          <w:tab w:leader="none" w:pos="80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Legacy Areas – production basins in which we expect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moderate our near-term capital expenditures in these Legacy Areas. Our Piceance Basin, Barnett Shale and Marcellus Shale reportable segments (as described below) comprise our Legacy Areas.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We are the owner-operator of or have significant ownership interests in the following gathering systems, which comprise our Core Focus Areas:</w:t>
      </w:r>
    </w:p>
    <w:p>
      <w:pPr>
        <w:spacing w:after="0" w:line="104" w:lineRule="exact"/>
        <w:rPr>
          <w:sz w:val="20"/>
          <w:szCs w:val="20"/>
          <w:color w:val="auto"/>
        </w:rPr>
      </w:pPr>
    </w:p>
    <w:p>
      <w:pPr>
        <w:ind w:left="800" w:right="10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44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16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12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 and</w:t>
      </w:r>
    </w:p>
    <w:p>
      <w:pPr>
        <w:spacing w:after="0" w:line="37" w:lineRule="exact"/>
        <w:rPr>
          <w:rFonts w:ascii="Times New Roman" w:cs="Times New Roman" w:eastAsia="Times New Roman" w:hAnsi="Times New Roman"/>
          <w:sz w:val="18"/>
          <w:szCs w:val="18"/>
          <w:color w:val="auto"/>
        </w:rPr>
      </w:pPr>
    </w:p>
    <w:p>
      <w:pPr>
        <w:ind w:left="800" w:right="58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740" w:hanging="400"/>
        <w:spacing w:after="0" w:line="275" w:lineRule="auto"/>
        <w:tabs>
          <w:tab w:leader="none" w:pos="8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37" w:lineRule="exact"/>
        <w:rPr>
          <w:rFonts w:ascii="Times New Roman" w:cs="Times New Roman" w:eastAsia="Times New Roman" w:hAnsi="Times New Roman"/>
          <w:sz w:val="18"/>
          <w:szCs w:val="18"/>
          <w:color w:val="auto"/>
        </w:rPr>
      </w:pPr>
    </w:p>
    <w:p>
      <w:pPr>
        <w:ind w:left="800" w:right="380" w:hanging="400"/>
        <w:spacing w:after="0" w:line="275" w:lineRule="auto"/>
        <w:tabs>
          <w:tab w:leader="none" w:pos="8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37" w:lineRule="exact"/>
        <w:rPr>
          <w:rFonts w:ascii="Times New Roman" w:cs="Times New Roman" w:eastAsia="Times New Roman" w:hAnsi="Times New Roman"/>
          <w:sz w:val="18"/>
          <w:szCs w:val="18"/>
          <w:color w:val="auto"/>
        </w:rPr>
      </w:pPr>
    </w:p>
    <w:p>
      <w:pPr>
        <w:ind w:left="800" w:right="440" w:hanging="400"/>
        <w:spacing w:after="0" w:line="275" w:lineRule="auto"/>
        <w:tabs>
          <w:tab w:leader="none" w:pos="8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organization and systems, see Notes 1 and 4 to the unaudited condensed consolidated financial statements.</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financial results are driven primarily by volume throughput and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Summit Permian and Grand River systems, (ii) the sale of natural gas we retain from certain DFW Midstream customers and (iii) the sale of condensate we retain from our gathering services at Grand River. During the three months ended September 30, 2019, these additional activities accounted for approximately 12% of total revenues (we did not have any marketing transactions during the quarter). During the nine months ended September 30, 2019, these additional activities accounted for approximately 21% of total revenues including marketing transactions, and approximately 13% of total revenues excluding marketing transactions.</w:t>
      </w:r>
    </w:p>
    <w:p>
      <w:pPr>
        <w:spacing w:after="0" w:line="6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6" w:name="page37"/>
    <w:bookmarkEnd w:id="36"/>
    <w:p>
      <w:pPr>
        <w:ind w:right="20"/>
        <w:spacing w:after="0" w:line="27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Nine Months Ended September 30, 2019 and 2018" section herein.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74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(10,645)</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57,455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(42,750)</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Utica Shale</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7,864</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6,521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20,697</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Ohio Gathering</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10,435</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10,171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29,584</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Williston Basin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13,840</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19,849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49,224</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DJ Basin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6,554</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12,043</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Permian Basin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(996)</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Piceance Basin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24,044</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27,583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74,627</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Barnett Shale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10,901</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10,818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33,483</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Marcellus Shale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4,958</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14,735</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47,173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56,443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143,419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40,571</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46,639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151,663</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common unitholders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23,777</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45,215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92,833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Distributions to Series A Preferred unitholders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14,250</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Net borrowings under Revolving Credit</w:t>
            </w: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Facility</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27,000</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134,000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right="80" w:firstLine="8"/>
        <w:spacing w:after="0" w:line="291" w:lineRule="auto"/>
        <w:tabs>
          <w:tab w:leader="none" w:pos="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"Liquidity and Capital Resources" herein and Note 4 to the unaudited condensed consolidated financial statements for additional information on capital expenditures.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nine months ended September 30, 2019. </w:t>
      </w:r>
      <w:r>
        <w:rPr>
          <w:rFonts w:ascii="Arial" w:cs="Arial" w:eastAsia="Arial" w:hAnsi="Arial"/>
          <w:sz w:val="18"/>
          <w:szCs w:val="18"/>
          <w:color w:val="auto"/>
        </w:rPr>
        <w:t>The following items are reflected in our financial results:</w:t>
      </w:r>
    </w:p>
    <w:p>
      <w:pPr>
        <w:spacing w:after="0" w:line="117" w:lineRule="exact"/>
        <w:rPr>
          <w:sz w:val="20"/>
          <w:szCs w:val="20"/>
          <w:color w:val="auto"/>
        </w:rPr>
      </w:pPr>
    </w:p>
    <w:p>
      <w:pPr>
        <w:ind w:left="800" w:right="300" w:hanging="400"/>
        <w:spacing w:after="0" w:line="255"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 September 2019, in connection with our annual impairment evaluation, we determined that the fair value of the Mountaineer Midstream reporting unit did not exceed its carrying value and we recognized a goodwill impairment charge of $16.2 million for the three and nine months ended September 30, 2019.</w:t>
      </w:r>
    </w:p>
    <w:p>
      <w:pPr>
        <w:spacing w:after="0" w:line="55" w:lineRule="exact"/>
        <w:rPr>
          <w:rFonts w:ascii="Times New Roman" w:cs="Times New Roman" w:eastAsia="Times New Roman" w:hAnsi="Times New Roman"/>
          <w:sz w:val="18"/>
          <w:szCs w:val="18"/>
          <w:color w:val="auto"/>
        </w:rPr>
      </w:pPr>
    </w:p>
    <w:p>
      <w:pPr>
        <w:jc w:val="both"/>
        <w:ind w:left="800" w:right="40" w:hanging="400"/>
        <w:spacing w:after="0" w:line="248"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 June 2019, we proceeded with the Double E Project after securing firm 10-year take-or-pay commitments for a substantial majority of the pipeline’s initial throughput capacity of 1.35 billion cubic feet of gas per day and executing the JV Agreement with an affiliate of Double E’s foundation shipper. Double E filed its Section 7(c) application with the Federal Energy Regulatory Commission on July 31, 2019.</w:t>
      </w:r>
    </w:p>
    <w:p>
      <w:pPr>
        <w:spacing w:after="0" w:line="62" w:lineRule="exact"/>
        <w:rPr>
          <w:rFonts w:ascii="Times New Roman" w:cs="Times New Roman" w:eastAsia="Times New Roman" w:hAnsi="Times New Roman"/>
          <w:sz w:val="18"/>
          <w:szCs w:val="18"/>
          <w:color w:val="auto"/>
        </w:rPr>
      </w:pPr>
    </w:p>
    <w:p>
      <w:pPr>
        <w:ind w:left="820" w:right="220"/>
        <w:spacing w:after="0" w:line="243"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Project, Summit Permian Transmission contributed total assets of approximately $23.6 million for a 70% ownership interest in Double E. We expect to own a majority interest in the Project, to lead the development, permitting and construction of the Project and to operate the pipeline upon commissioning. We estimate that our share of the capital expenditures required to develop the Project will total approximately $350.0 million, and that more than 90% of those capital expenditures will be incurred in 2020 and 2021. Assuming timely receipt of the requisite regulatory approvals, we expect that the Project will be placed into service in the third quarter of 2021.</w:t>
      </w:r>
    </w:p>
    <w:p>
      <w:pPr>
        <w:spacing w:after="0" w:line="66" w:lineRule="exact"/>
        <w:rPr>
          <w:rFonts w:ascii="Times New Roman" w:cs="Times New Roman" w:eastAsia="Times New Roman" w:hAnsi="Times New Roman"/>
          <w:sz w:val="18"/>
          <w:szCs w:val="18"/>
          <w:color w:val="auto"/>
        </w:rPr>
      </w:pPr>
    </w:p>
    <w:p>
      <w:pPr>
        <w:ind w:left="800" w:right="60" w:hanging="400"/>
        <w:spacing w:after="0"/>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Until March 22, 2019, we owned Tioga Midstream, a crude oil, produced water and associated natural gas gathering systems operating in the Williston Basin, which includes the Bakken and Three Forks shale formations in northwestern North Dakota. Refer to Note 17 for details on the sale of Tioga Midstream. On March 22,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7" w:name="page38"/>
    <w:bookmarkEnd w:id="37"/>
    <w:p>
      <w:pPr>
        <w:ind w:left="800" w:right="100" w:hanging="400"/>
        <w:spacing w:after="0" w:line="241"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2019, we signed an amendment to the Contribution Agreement (the “Amendment”) related to the 2016 Drop Down pursuant to which, in April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0" w:lineRule="exact"/>
        <w:rPr>
          <w:rFonts w:ascii="Times New Roman" w:cs="Times New Roman" w:eastAsia="Times New Roman" w:hAnsi="Times New Roman"/>
          <w:sz w:val="18"/>
          <w:szCs w:val="18"/>
          <w:color w:val="auto"/>
        </w:rPr>
      </w:pPr>
    </w:p>
    <w:p>
      <w:pPr>
        <w:ind w:left="820" w:right="100"/>
        <w:spacing w:after="0" w:line="245"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present value of the Deferred Purchase Price Obligation is reflected as a liability on our unaudited condensed consolidated balance sheet. As of September 30, 2019, the Remaining Consideration, which reflects the net present value of the $303.5 million Deferred Purchase Price Obligation, was $295.8 million on the unaudited condensed consolidated balance sheet using a discount rate of 5.25%. We have presented the Deferred Purchase Price Obligation as a current liability based on the expected settlement on or before June 30, 2020.</w:t>
      </w:r>
    </w:p>
    <w:p>
      <w:pPr>
        <w:spacing w:after="0" w:line="64" w:lineRule="exact"/>
        <w:rPr>
          <w:rFonts w:ascii="Times New Roman" w:cs="Times New Roman" w:eastAsia="Times New Roman" w:hAnsi="Times New Roman"/>
          <w:sz w:val="18"/>
          <w:szCs w:val="18"/>
          <w:color w:val="auto"/>
        </w:rPr>
      </w:pPr>
    </w:p>
    <w:p>
      <w:pPr>
        <w:ind w:left="800" w:right="80" w:hanging="400"/>
        <w:spacing w:after="0" w:line="245"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22, 2019, pursuant to an equity restructuring agreement with the General Partner and SMP Holdings, we cancelled our IDRs and converted our 2% economic GP interest into a non-economic GP interest in exchange for 8,750,000 SMLP common units, which were issued to SMP Holdings in the Equity Restructuring. As a result of the Equity Restructuring, the general partner units and IDRs were eliminated, are no longer outstanding, and no longer participate in distributions of cash from SMLP. ECP continues to control the non-economic GP interest in SMLP.</w:t>
      </w:r>
    </w:p>
    <w:p>
      <w:pPr>
        <w:spacing w:after="0" w:line="63" w:lineRule="exact"/>
        <w:rPr>
          <w:rFonts w:ascii="Times New Roman" w:cs="Times New Roman" w:eastAsia="Times New Roman" w:hAnsi="Times New Roman"/>
          <w:sz w:val="18"/>
          <w:szCs w:val="18"/>
          <w:color w:val="auto"/>
        </w:rPr>
      </w:pPr>
    </w:p>
    <w:p>
      <w:pPr>
        <w:ind w:left="800" w:right="140" w:hanging="400"/>
        <w:spacing w:after="0" w:line="243"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and we recorded an impairment charge of $10.2 million related to these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nine months ended September 30, 2018. </w:t>
      </w:r>
      <w:r>
        <w:rPr>
          <w:rFonts w:ascii="Arial" w:cs="Arial" w:eastAsia="Arial" w:hAnsi="Arial"/>
          <w:sz w:val="18"/>
          <w:szCs w:val="18"/>
          <w:color w:val="auto"/>
        </w:rPr>
        <w:t>The following items are reflected in our financial results:</w:t>
      </w:r>
    </w:p>
    <w:p>
      <w:pPr>
        <w:spacing w:after="0" w:line="117" w:lineRule="exact"/>
        <w:rPr>
          <w:sz w:val="20"/>
          <w:szCs w:val="20"/>
          <w:color w:val="auto"/>
        </w:rPr>
      </w:pPr>
    </w:p>
    <w:p>
      <w:pPr>
        <w:ind w:left="800" w:hanging="400"/>
        <w:spacing w:after="0" w:line="245" w:lineRule="auto"/>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and nine months ended September 30, 2018, we recognized $6.4 million and $14.8 million in gathering services and related fees from MVC shortfall adjustments. Under Topic 606, 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Trends and Outlook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Natural gas, NGL and crude oil supply and demand dynamics;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from U.S. shale plays;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Capital markets activity and cost of capital;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operating costs and inflation.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8" w:name="page39"/>
    <w:bookmarkEnd w:id="38"/>
    <w:p>
      <w:pPr>
        <w:spacing w:after="0" w:line="241" w:lineRule="auto"/>
        <w:rPr>
          <w:sz w:val="20"/>
          <w:szCs w:val="20"/>
          <w:color w:val="auto"/>
        </w:rPr>
      </w:pPr>
      <w:r>
        <w:rPr>
          <w:rFonts w:ascii="Arial" w:cs="Arial" w:eastAsia="Arial" w:hAnsi="Arial"/>
          <w:sz w:val="18"/>
          <w:szCs w:val="18"/>
          <w:color w:val="auto"/>
        </w:rPr>
        <w:t>With the completion of our 60 MMcf/d DJ Basin processing plant and compression expansions in the Permian Basin, capital expenditures began to wind down in the third quarter and are expected to decline further in the fourth quarter of 2019. We will remain disciplined with respect to future capital expenditures, which will be primarily concentrated on the Double E Pipeline project and accretive expansions of our existing systems in our Core Focus Areas. We continue to advance our financing plans for our equity interest in Double E, which we intend to be credit neutral to Summit. We are currently targeting a financing structure that requires no further cash outlays or payments by us during the construction period, and which shifts a substantial majority of our Double E capital commitments to third parties beginning in the first quarter of 2020. Excluding Double E, we estimate that our 2020 capital program will be less than $75 million.</w:t>
      </w:r>
    </w:p>
    <w:p>
      <w:pPr>
        <w:spacing w:after="0" w:line="7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Additionally, in the third quarter, we kicked off an important internal initiative to transform our cost structure, enhance margins and improve our competitive position in response to the ongoing challenge of weak market conditions. Based on preliminary assessments, we are targeting a reduction of at least $10 million of annual operating and administrative expenses in 2020 and up to $20 million of annual run rate expenses thereafter, while maintaining our commitment to providing safe and reliable operations for our customers. Our committed focus on cost efficiency and capital discipline is an important part of our overall plan to reduce leverage and improve our financial flexibility.</w:t>
      </w:r>
    </w:p>
    <w:p>
      <w:pPr>
        <w:spacing w:after="0" w:line="6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In November 2019, we amended the DPPO, reducing the remaining payment obligation to $180.75 million, and extending the final payment date to January 2022. We believe that the amendment provides additional time to strengthen the balance sheet and develop an optimal solution to retire the DPPO in its entirety. To that end, we will continue to pursue options that include, but are not limited to, raising proceeds from asset divestitures or the formation of joint ventures in our Legacy Areas and Core Focus Areas.</w:t>
      </w:r>
    </w:p>
    <w:p>
      <w:pPr>
        <w:spacing w:after="0" w:line="6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2018 Annual Report.</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How We Evaluate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Utica Shale, which is served by Summit Utica;</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which includes our ownership interest in OGC and OCC;</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Williston Basin, which is served by Polar and Divide and Bison Midstream;</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DJ Basin, which is served by Niobrara G&amp;P;</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Permian Basin, which is served by Summit Permian;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Piceance Basin, which is served by Grand River;</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Barnett Shale, which is served by DFW Midstream;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Marcellus Shale, which is served by Mountaineer Midstream.</w:t>
      </w:r>
    </w:p>
    <w:p>
      <w:pPr>
        <w:spacing w:after="0" w:line="1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to the unaudited condensed consolidated financial statements for details on the sale of Tioga Midstream.</w:t>
      </w:r>
    </w:p>
    <w:p>
      <w:pPr>
        <w:spacing w:after="0" w:line="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unaudited condensed consolidated financial statements).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39" w:name="page40"/>
    <w:bookmarkEnd w:id="39"/>
    <w:p>
      <w:pPr>
        <w:jc w:val="both"/>
        <w:ind w:right="320"/>
        <w:spacing w:after="0" w:line="255"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56" w:lineRule="exact"/>
        <w:rPr>
          <w:sz w:val="20"/>
          <w:szCs w:val="20"/>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throughput volume;</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revenues;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operation and maintenance expenses;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segment adjusted EBITDA.</w:t>
      </w:r>
    </w:p>
    <w:p>
      <w:pPr>
        <w:spacing w:after="0" w:line="116" w:lineRule="exact"/>
        <w:rPr>
          <w:sz w:val="20"/>
          <w:szCs w:val="20"/>
          <w:color w:val="auto"/>
        </w:rPr>
      </w:pPr>
    </w:p>
    <w:p>
      <w:pPr>
        <w:ind w:right="1060"/>
        <w:spacing w:after="0" w:line="27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nine months ended September 30, 2019.</w:t>
      </w:r>
    </w:p>
    <w:p>
      <w:pPr>
        <w:spacing w:after="0" w:line="3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additional information on how these metrics help us manage our business, see the "How We Evaluate Our Operations" section of MD&amp;A included in the 2018 Annual Report. For information on impending accounting changes that are expected to materially impact our financial results reported in future periods, see Note 2 to the unaudited condensed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Nine Months Ended September 30,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and operating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80,968</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86,427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243,039</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12,219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34,017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68,438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7,035</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100,187</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127,479</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331,281</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372,982</w:t>
            </w: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7,472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26,879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50,802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26,231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74,171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9,949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11,740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37,444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27,406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26,743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81,933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impairment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16,211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16,211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87,051</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91,290</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305,066</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266,992</w:t>
            </w: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Purchase Price Obligation</w:t>
            </w: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37,204</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shd w:val="clear" w:color="auto" w:fill="CFF0FC"/>
          </w:tcPr>
          <w:p>
            <w:pPr>
              <w:ind w:left="240"/>
              <w:spacing w:after="0" w:line="187" w:lineRule="exact"/>
              <w:rPr>
                <w:sz w:val="20"/>
                <w:szCs w:val="20"/>
                <w:color w:val="auto"/>
              </w:rPr>
            </w:pPr>
            <w:r>
              <w:rPr>
                <w:rFonts w:ascii="Arial" w:cs="Arial" w:eastAsia="Arial" w:hAnsi="Arial"/>
                <w:sz w:val="18"/>
                <w:szCs w:val="18"/>
                <w:color w:val="auto"/>
              </w:rPr>
              <w:t>(Loss) income before income taxes and loss</w:t>
            </w: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from equity method investees</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58,589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w:t>
            </w:r>
          </w:p>
        </w:tc>
        <w:tc>
          <w:tcPr>
            <w:tcW w:w="8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(loss) income</w:t>
            </w:r>
          </w:p>
        </w:tc>
        <w:tc>
          <w:tcPr>
            <w:tcW w:w="8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57,455</w:t>
            </w: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(42,750)</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Volume throughput (1):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Aggregate average daily throughput - natural</w:t>
            </w: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gas (MMcf/d)</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tcPr>
          <w:p>
            <w:pPr>
              <w:spacing w:after="0" w:line="194" w:lineRule="exact"/>
              <w:rPr>
                <w:sz w:val="20"/>
                <w:szCs w:val="20"/>
                <w:color w:val="auto"/>
              </w:rPr>
            </w:pPr>
            <w:r>
              <w:rPr>
                <w:rFonts w:ascii="Arial" w:cs="Arial" w:eastAsia="Arial" w:hAnsi="Arial"/>
                <w:sz w:val="18"/>
                <w:szCs w:val="18"/>
                <w:color w:val="auto"/>
              </w:rPr>
              <w:t>Aggregate average daily throughput - liquids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(Mbbl/d)</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51"/>
              <w:spacing w:after="0"/>
              <w:rPr>
                <w:sz w:val="20"/>
                <w:szCs w:val="20"/>
                <w:color w:val="auto"/>
              </w:rPr>
            </w:pPr>
            <w:r>
              <w:rPr>
                <w:rFonts w:ascii="Arial" w:cs="Arial" w:eastAsia="Arial" w:hAnsi="Arial"/>
                <w:sz w:val="18"/>
                <w:szCs w:val="18"/>
                <w:color w:val="auto"/>
                <w:w w:val="99"/>
              </w:rPr>
              <w:t>39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(1) Exclusive of volume throughput for Ohio Gathering. For additional information, see the "Ohio Gathering" section herein.</w:t>
      </w:r>
    </w:p>
    <w:p>
      <w:pPr>
        <w:spacing w:after="0" w:line="10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235 MMcf/d compared to the three months ended September 30,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37" w:lineRule="exact"/>
        <w:rPr>
          <w:sz w:val="20"/>
          <w:szCs w:val="20"/>
          <w:color w:val="auto"/>
        </w:rPr>
      </w:pPr>
    </w:p>
    <w:p>
      <w:pPr>
        <w:ind w:left="800" w:hanging="400"/>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107 MMcf/d for the Piceance Basin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101 MMcf/d for the Marcellus Shale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67 MMcf/d for the Utica Shale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Natural gas throughput volumes decreased 310 MMcf/d compared to the nine months ended September 30, 2018, primarily reflecting:</w:t>
      </w:r>
    </w:p>
    <w:p>
      <w:pPr>
        <w:spacing w:after="0" w:line="104" w:lineRule="exact"/>
        <w:rPr>
          <w:sz w:val="20"/>
          <w:szCs w:val="20"/>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141 MMcf/d for the Marcellus Shale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97 MMcf/d for the Utica Shale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94 MMcf/d for the Piceance Basin segment.</w:t>
      </w:r>
    </w:p>
    <w:p>
      <w:pPr>
        <w:spacing w:after="0" w:line="11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in the Williston Basin segment increased 8.3 Mbbl/d and 9.9 Mbbl/d,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compared to the three and nine months ended September 30, 2018.</w:t>
      </w:r>
    </w:p>
    <w:p>
      <w:pPr>
        <w:spacing w:after="0" w:line="23"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For additional information on volumes, see the "Segment Overview for the Three and Nine Months Ended September 30, 2019 and 2018" section herein.</w:t>
      </w:r>
    </w:p>
    <w:p>
      <w:pPr>
        <w:spacing w:after="0" w:line="3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$27.3 million compared to the three months ended September 30, 2018 comprised of a $21.8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natural gas, NGLs and condensate sales and a $5.5 million decrease in gathering services and related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$5.5 million compared to the three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primarily reflecting:</w:t>
      </w:r>
    </w:p>
    <w:p>
      <w:pPr>
        <w:spacing w:after="0" w:line="82" w:lineRule="exact"/>
        <w:rPr>
          <w:sz w:val="20"/>
          <w:szCs w:val="20"/>
          <w:color w:val="auto"/>
        </w:rPr>
      </w:pPr>
    </w:p>
    <w:p>
      <w:pPr>
        <w:ind w:left="800" w:right="40" w:hanging="400"/>
        <w:spacing w:after="0" w:line="245"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$7.0 million decrease in gathering services and related fees in the Barnett Shale primarily reflecting $6.1 million in lower MVC shortfall revenue attributable to the timing of revenue recognition and an unfavorable gathering rate mix on certain gathering services and related fees. Also impacting 2019 revenues was the presentation of $1.6 million of gathering services as a reduction to cost of natural gas and NGLs due to the assignment of certain marketing arrangements from Corporate and Other to our DFW Midstream operations. This was partially offset by higher volume throughput due to increased drilling and completion activity.</w:t>
      </w:r>
    </w:p>
    <w:p>
      <w:pPr>
        <w:spacing w:after="0" w:line="63" w:lineRule="exact"/>
        <w:rPr>
          <w:rFonts w:ascii="Times New Roman" w:cs="Times New Roman" w:eastAsia="Times New Roman" w:hAnsi="Times New Roman"/>
          <w:sz w:val="18"/>
          <w:szCs w:val="18"/>
          <w:color w:val="auto"/>
        </w:rPr>
      </w:pPr>
    </w:p>
    <w:p>
      <w:pPr>
        <w:ind w:left="800" w:hanging="400"/>
        <w:spacing w:after="0" w:line="275"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$3.9 million decrease in gathering services and related fees in the Piceance Basin relating to lower volume throughput due to a lack of drilling and completion activity and natural production declines.</w:t>
      </w:r>
    </w:p>
    <w:p>
      <w:pPr>
        <w:spacing w:after="0" w:line="37" w:lineRule="exact"/>
        <w:rPr>
          <w:rFonts w:ascii="Times New Roman" w:cs="Times New Roman" w:eastAsia="Times New Roman" w:hAnsi="Times New Roman"/>
          <w:sz w:val="18"/>
          <w:szCs w:val="18"/>
          <w:color w:val="auto"/>
        </w:rPr>
      </w:pPr>
    </w:p>
    <w:p>
      <w:pPr>
        <w:ind w:left="800" w:right="140" w:hanging="400"/>
        <w:spacing w:after="0" w:line="248"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$1.3 million decrease in gathering services and related fees in the Williston Basin primarily reflecting a $2.9 million decrease in gathering services and related fees attributable to the sale of the Tioga Midstream system on March 22, 2019, whose 2019 financial results are included for the period from January 1, 2019 through March 22, 2019. This was partially offset by higher liquids volume throughput in the Williston Basin due to increased drilling activity.</w:t>
      </w:r>
    </w:p>
    <w:p>
      <w:pPr>
        <w:spacing w:after="0" w:line="62" w:lineRule="exact"/>
        <w:rPr>
          <w:rFonts w:ascii="Times New Roman" w:cs="Times New Roman" w:eastAsia="Times New Roman" w:hAnsi="Times New Roman"/>
          <w:sz w:val="18"/>
          <w:szCs w:val="18"/>
          <w:color w:val="auto"/>
        </w:rPr>
      </w:pPr>
    </w:p>
    <w:p>
      <w:pPr>
        <w:ind w:left="800" w:right="140" w:hanging="400"/>
        <w:spacing w:after="0" w:line="255"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$1.2 million decrease in gathering services and related fees in the Marcellus Shale relating to lower volume throughput due to natural production declines partially offset by throughput associated with a number of new wells that were commissioned in the third quarter of 2019.</w:t>
      </w:r>
    </w:p>
    <w:p>
      <w:pPr>
        <w:spacing w:after="0" w:line="55" w:lineRule="exact"/>
        <w:rPr>
          <w:rFonts w:ascii="Times New Roman" w:cs="Times New Roman" w:eastAsia="Times New Roman" w:hAnsi="Times New Roman"/>
          <w:sz w:val="18"/>
          <w:szCs w:val="18"/>
          <w:color w:val="auto"/>
        </w:rPr>
      </w:pPr>
    </w:p>
    <w:p>
      <w:pPr>
        <w:ind w:left="800" w:right="200" w:hanging="400"/>
        <w:spacing w:after="0" w:line="306" w:lineRule="auto"/>
        <w:tabs>
          <w:tab w:leader="none" w:pos="8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 $4.3 million increase in gathering services and related fees in the DJ Basin relating to higher volume throughput due to increased drilling activity and a more favorable volume and gathering rate mix from customers, partially offset by natural production declines.</w:t>
      </w:r>
    </w:p>
    <w:p>
      <w:pPr>
        <w:spacing w:after="0" w:line="13" w:lineRule="exact"/>
        <w:rPr>
          <w:rFonts w:ascii="Times New Roman" w:cs="Times New Roman" w:eastAsia="Times New Roman" w:hAnsi="Times New Roman"/>
          <w:sz w:val="17"/>
          <w:szCs w:val="17"/>
          <w:color w:val="auto"/>
        </w:rPr>
      </w:pPr>
    </w:p>
    <w:p>
      <w:pPr>
        <w:ind w:left="800" w:hanging="400"/>
        <w:spacing w:after="0"/>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$1.0 million in gathering services and related fees in the Permian Basin (commissioned in the fourth quarter of 2018).</w:t>
      </w:r>
    </w:p>
    <w:p>
      <w:pPr>
        <w:spacing w:after="0" w:line="116" w:lineRule="exact"/>
        <w:rPr>
          <w:rFonts w:ascii="Times New Roman" w:cs="Times New Roman" w:eastAsia="Times New Roman" w:hAnsi="Times New Roman"/>
          <w:sz w:val="18"/>
          <w:szCs w:val="18"/>
          <w:color w:val="auto"/>
        </w:rPr>
      </w:pPr>
    </w:p>
    <w:p>
      <w:pPr>
        <w:ind w:left="800" w:right="160" w:hanging="400"/>
        <w:spacing w:after="0" w:line="255"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$0.9 million increase in gathering services and related fees in the Utica Shale due to the completion of new wells at the end of the fourth quarter of 2018 and during the first three quarters of 2019 and a more favorable volume and gathering rate mix from customers, partially offset by natural production declines.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92" w:right="259" w:bottom="1440" w:gutter="0" w:footer="0" w:header="0"/>
        </w:sectPr>
      </w:pPr>
    </w:p>
    <w:bookmarkStart w:id="41" w:name="page42"/>
    <w:bookmarkEnd w:id="41"/>
    <w:p>
      <w:pPr>
        <w:jc w:val="both"/>
        <w:ind w:right="240"/>
        <w:spacing w:after="0" w:line="255"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$21.8 million compared to the three months ended September 30, 2018, primarily reflecting lower natural gas, NGL and crude oil marketing services. The decrease in revenue is almost entirely offset by a $19.4 million decrease in natural gas, NGL and condensate purchases.</w:t>
      </w:r>
    </w:p>
    <w:p>
      <w:pPr>
        <w:spacing w:after="0" w:line="56"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Total revenues decreased $41.7 million compared to the nine months ended September 30, 2018 primarily comprised of a $23.6 million decrease in natural gas, NGLs and condensate sales and a $17.3 million decrease in gathering services and related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$17.3 million compared to the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primarily reflecting:</w:t>
      </w:r>
    </w:p>
    <w:p>
      <w:pPr>
        <w:spacing w:after="0" w:line="82" w:lineRule="exact"/>
        <w:rPr>
          <w:sz w:val="20"/>
          <w:szCs w:val="20"/>
          <w:color w:val="auto"/>
        </w:rPr>
      </w:pPr>
    </w:p>
    <w:p>
      <w:pPr>
        <w:ind w:left="800" w:right="60" w:hanging="400"/>
        <w:spacing w:after="0" w:line="245"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$10.3 million decrease in gathering services and related fees in the Barnett Shale primarily reflecting $6.4 million in lower MVC shortfall revenue attributable to the timing of revenue recognition and an unfavorable gathering rate mix on certain gathering services and related fees. Also impacting 2019 revenues was the presentation of $2.8 million of gathering services as a reduction to cost of natural gas and NGLs due to the assignment of certain marketing arrangements from Corporate and Other to our DFW Midstream operations. This was partially offset by higher volume throughput due to increased drilling and completion activity.</w:t>
      </w:r>
    </w:p>
    <w:p>
      <w:pPr>
        <w:spacing w:after="0" w:line="63" w:lineRule="exact"/>
        <w:rPr>
          <w:rFonts w:ascii="Times New Roman" w:cs="Times New Roman" w:eastAsia="Times New Roman" w:hAnsi="Times New Roman"/>
          <w:sz w:val="18"/>
          <w:szCs w:val="18"/>
          <w:color w:val="auto"/>
        </w:rPr>
      </w:pPr>
    </w:p>
    <w:p>
      <w:pPr>
        <w:ind w:left="800" w:right="20" w:hanging="400"/>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$8.3 million decrease in gathering services and related fees in the Piceance Basin relating to lower volume throughput due to a lack of drilling and completion activity and natural production declines.</w:t>
      </w:r>
    </w:p>
    <w:p>
      <w:pPr>
        <w:spacing w:after="0" w:line="37" w:lineRule="exact"/>
        <w:rPr>
          <w:rFonts w:ascii="Times New Roman" w:cs="Times New Roman" w:eastAsia="Times New Roman" w:hAnsi="Times New Roman"/>
          <w:sz w:val="18"/>
          <w:szCs w:val="18"/>
          <w:color w:val="auto"/>
        </w:rPr>
      </w:pPr>
    </w:p>
    <w:p>
      <w:pPr>
        <w:ind w:left="800" w:right="500" w:hanging="400"/>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$4.9 million decrease in gathering services and related fees in the Marcellus Shale relating to lower volume throughput due to natural production declines.</w:t>
      </w:r>
    </w:p>
    <w:p>
      <w:pPr>
        <w:spacing w:after="0" w:line="37" w:lineRule="exact"/>
        <w:rPr>
          <w:rFonts w:ascii="Times New Roman" w:cs="Times New Roman" w:eastAsia="Times New Roman" w:hAnsi="Times New Roman"/>
          <w:sz w:val="18"/>
          <w:szCs w:val="18"/>
          <w:color w:val="auto"/>
        </w:rPr>
      </w:pPr>
    </w:p>
    <w:p>
      <w:pPr>
        <w:ind w:left="800" w:right="20" w:hanging="400"/>
        <w:spacing w:after="0" w:line="245"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$4.5 million decrease in gathering services and related fees in the Utica Shale due to a combination of natural production declines on existing wells together with increased temporary production curtailments associated with infill drilling, completion activity and other operational downtime associated with customers on existing pad sites, partially offset by the completion of new wells at the end of the fourth quarter of 2018 and during the first three quarters of 2019 and a more favorable volume and gathering rate mix from customers.</w:t>
      </w:r>
    </w:p>
    <w:p>
      <w:pPr>
        <w:spacing w:after="0" w:line="63" w:lineRule="exact"/>
        <w:rPr>
          <w:rFonts w:ascii="Times New Roman" w:cs="Times New Roman" w:eastAsia="Times New Roman" w:hAnsi="Times New Roman"/>
          <w:sz w:val="18"/>
          <w:szCs w:val="18"/>
          <w:color w:val="auto"/>
        </w:rPr>
      </w:pPr>
    </w:p>
    <w:p>
      <w:pPr>
        <w:ind w:left="800" w:right="160" w:hanging="400"/>
        <w:spacing w:after="0" w:line="248"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decrease in gathering services and related fees in the Williston Basin primarily reflecting a $7.2 million decrease in gathering services and related fees attributable to the sale of the Tioga Midstream system on March 22, 2019, whose 2019 financial results are included for the period from January 1, 2019 through March 22, 2019. This was partially offset by higher liquids volume throughput due to increased drilling activity.</w:t>
      </w:r>
    </w:p>
    <w:p>
      <w:pPr>
        <w:spacing w:after="0" w:line="62" w:lineRule="exact"/>
        <w:rPr>
          <w:rFonts w:ascii="Times New Roman" w:cs="Times New Roman" w:eastAsia="Times New Roman" w:hAnsi="Times New Roman"/>
          <w:sz w:val="18"/>
          <w:szCs w:val="18"/>
          <w:color w:val="auto"/>
        </w:rPr>
      </w:pPr>
    </w:p>
    <w:p>
      <w:pPr>
        <w:ind w:left="800" w:right="220" w:hanging="400"/>
        <w:spacing w:after="0" w:line="306" w:lineRule="auto"/>
        <w:tabs>
          <w:tab w:leader="none" w:pos="8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a $7.4 million increase in gathering services and related fees in the DJ Basin relating to higher volume throughput due to increased drilling activity and a more favorable volume and gathering rate mix from customers, partially offset by natural production declines.</w:t>
      </w:r>
    </w:p>
    <w:p>
      <w:pPr>
        <w:spacing w:after="0" w:line="13" w:lineRule="exact"/>
        <w:rPr>
          <w:rFonts w:ascii="Times New Roman" w:cs="Times New Roman" w:eastAsia="Times New Roman" w:hAnsi="Times New Roman"/>
          <w:sz w:val="17"/>
          <w:szCs w:val="17"/>
          <w:color w:val="auto"/>
        </w:rPr>
      </w:pPr>
    </w:p>
    <w:p>
      <w:pPr>
        <w:ind w:left="800" w:hanging="400"/>
        <w:spacing w:after="0"/>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$1.9 million in gathering services and related fees in the Permian Basin (commissioned in the fourth quarter of 2018).</w:t>
      </w:r>
    </w:p>
    <w:p>
      <w:pPr>
        <w:spacing w:after="0" w:line="1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$23.6 million compared to the nine months ended September 30, 2018, primarily reflecting lower natural gas, NGL and crude oil marketing services. The majority of the decrease in revenue is offset by a $20.7 million decrease in natural gas, NGL and condensate purchases.</w:t>
      </w:r>
    </w:p>
    <w:p>
      <w:pPr>
        <w:spacing w:after="0" w:line="56"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$4.2 million, compared to the three months ended September 30,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23" w:lineRule="exact"/>
        <w:rPr>
          <w:sz w:val="20"/>
          <w:szCs w:val="20"/>
          <w:color w:val="auto"/>
        </w:rPr>
      </w:pPr>
    </w:p>
    <w:p>
      <w:pPr>
        <w:ind w:left="800" w:right="300" w:hanging="400"/>
        <w:spacing w:after="0" w:line="291"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$19.4 million decrease in natural gas, NGLs and condensate purchases primarily driven by lower natural gas, NGL and crude oil marketing activity.</w:t>
      </w:r>
    </w:p>
    <w:p>
      <w:pPr>
        <w:spacing w:after="0" w:line="23" w:lineRule="exact"/>
        <w:rPr>
          <w:rFonts w:ascii="Times New Roman" w:cs="Times New Roman" w:eastAsia="Times New Roman" w:hAnsi="Times New Roman"/>
          <w:sz w:val="18"/>
          <w:szCs w:val="18"/>
          <w:color w:val="auto"/>
        </w:rPr>
      </w:pPr>
    </w:p>
    <w:p>
      <w:pPr>
        <w:ind w:left="800" w:hanging="400"/>
        <w:spacing w:after="0" w:line="255"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$1.8 million decrease in general and administrative expense primarily due to a $2.5 million decrease in compensation expense partially offset by a $1.2 million increase in professional service fees. For the three months ended September 30, 2018, we received a reimbursement of $0.6 million for previously paid professional fees.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2" w:name="page43"/>
    <w:bookmarkEnd w:id="42"/>
    <w:p>
      <w:pPr>
        <w:ind w:left="800" w:right="700" w:hanging="400"/>
        <w:spacing w:after="0" w:line="275"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noncash goodwill impairment charge of $16.2 million relating to the Mountaineer Midstream system in the Marcellus Shale reportable segment.</w:t>
      </w:r>
    </w:p>
    <w:p>
      <w:pPr>
        <w:spacing w:after="0" w:line="37" w:lineRule="exact"/>
        <w:rPr>
          <w:rFonts w:ascii="Times New Roman" w:cs="Times New Roman" w:eastAsia="Times New Roman" w:hAnsi="Times New Roman"/>
          <w:sz w:val="18"/>
          <w:szCs w:val="18"/>
          <w:color w:val="auto"/>
        </w:rPr>
      </w:pPr>
    </w:p>
    <w:p>
      <w:pPr>
        <w:ind w:left="800" w:right="40" w:hanging="400"/>
        <w:spacing w:after="0" w:line="291"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$1.8 million increase in operation and maintenance expense primarily due to an increase in environmental remediation costs in the Williston Basin.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Total costs and expenses increased $38.1 million, compared to the nine months ended September 30, 2018 primarily reflecting:</w:t>
      </w:r>
    </w:p>
    <w:p>
      <w:pPr>
        <w:spacing w:after="0" w:line="117" w:lineRule="exact"/>
        <w:rPr>
          <w:sz w:val="20"/>
          <w:szCs w:val="20"/>
          <w:color w:val="auto"/>
        </w:rPr>
      </w:pPr>
    </w:p>
    <w:p>
      <w:pPr>
        <w:ind w:left="800" w:hanging="400"/>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recognition of $34.7 million of certain long-lived asset impairments in the DJ Basin.</w:t>
      </w:r>
    </w:p>
    <w:p>
      <w:pPr>
        <w:spacing w:after="0" w:line="116" w:lineRule="exact"/>
        <w:rPr>
          <w:rFonts w:ascii="Times New Roman" w:cs="Times New Roman" w:eastAsia="Times New Roman" w:hAnsi="Times New Roman"/>
          <w:sz w:val="18"/>
          <w:szCs w:val="18"/>
          <w:color w:val="auto"/>
        </w:rPr>
      </w:pPr>
    </w:p>
    <w:p>
      <w:pPr>
        <w:ind w:left="800" w:right="700" w:hanging="400"/>
        <w:spacing w:after="0" w:line="275"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noncash goodwill impairment charge of $16.2 million relating to the Mountaineer Midstream system in the Marcellus Shale reportable segment.</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recognition of $10.2 million of certain long-lived asset impairments in the Barnett Shale.</w:t>
      </w:r>
    </w:p>
    <w:p>
      <w:pPr>
        <w:spacing w:after="0" w:line="116" w:lineRule="exact"/>
        <w:rPr>
          <w:rFonts w:ascii="Times New Roman" w:cs="Times New Roman" w:eastAsia="Times New Roman" w:hAnsi="Times New Roman"/>
          <w:sz w:val="18"/>
          <w:szCs w:val="18"/>
          <w:color w:val="auto"/>
        </w:rPr>
      </w:pPr>
    </w:p>
    <w:p>
      <w:pPr>
        <w:ind w:left="800" w:right="100" w:hanging="400"/>
        <w:spacing w:after="0" w:line="291"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$1.7 million increase in depreciation and amortization, which was primarily driven by the assets placed into service in the Permian Basin.</w:t>
      </w:r>
    </w:p>
    <w:p>
      <w:pPr>
        <w:spacing w:after="0" w:line="23" w:lineRule="exact"/>
        <w:rPr>
          <w:rFonts w:ascii="Times New Roman" w:cs="Times New Roman" w:eastAsia="Times New Roman" w:hAnsi="Times New Roman"/>
          <w:sz w:val="18"/>
          <w:szCs w:val="18"/>
          <w:color w:val="auto"/>
        </w:rPr>
      </w:pPr>
    </w:p>
    <w:p>
      <w:pPr>
        <w:ind w:left="800" w:right="40" w:hanging="400"/>
        <w:spacing w:after="0" w:line="291"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increase in operation and maintenance expense primarily due to an increase in environmental remediation costs in the Williston Basin.</w:t>
      </w:r>
    </w:p>
    <w:p>
      <w:pPr>
        <w:spacing w:after="0" w:line="23" w:lineRule="exact"/>
        <w:rPr>
          <w:rFonts w:ascii="Times New Roman" w:cs="Times New Roman" w:eastAsia="Times New Roman" w:hAnsi="Times New Roman"/>
          <w:sz w:val="18"/>
          <w:szCs w:val="18"/>
          <w:color w:val="auto"/>
        </w:rPr>
      </w:pPr>
    </w:p>
    <w:p>
      <w:pPr>
        <w:ind w:left="800" w:right="220" w:hanging="400"/>
        <w:spacing w:after="0" w:line="291"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$20.7 million decrease in natural gas, NGLs and condensate purchases primarily driven by lower natural gas, NGL and crude oil marketing activity.</w:t>
      </w:r>
    </w:p>
    <w:p>
      <w:pPr>
        <w:spacing w:after="0" w:line="23" w:lineRule="exact"/>
        <w:rPr>
          <w:rFonts w:ascii="Times New Roman" w:cs="Times New Roman" w:eastAsia="Times New Roman" w:hAnsi="Times New Roman"/>
          <w:sz w:val="18"/>
          <w:szCs w:val="18"/>
          <w:color w:val="auto"/>
        </w:rPr>
      </w:pPr>
    </w:p>
    <w:p>
      <w:pPr>
        <w:ind w:left="800" w:hanging="400"/>
        <w:spacing w:after="0" w:line="255"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$2.2 million decrease in general and administrative expense primarily due to a $5.1 million decrease in compensation expense and a $0.4 million decrease in professional service fees, partially offset by the recognition of $4.2 million in cash severance and unit-based compensation expense relating to our former Chief Executive Officer.</w:t>
      </w:r>
    </w:p>
    <w:p>
      <w:pPr>
        <w:spacing w:after="0" w:line="5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$19.4 million and $ 20.7 million compared to the three and nine months ended September 30, 2018, primarily driven by lower natural gas, NGL and crude oil marketing activity.</w:t>
      </w:r>
    </w:p>
    <w:p>
      <w:pPr>
        <w:spacing w:after="0" w:line="2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increased $1.8 million compared to the three months ended September 30, 2018 primarily due to an increase in environmental remediation costs in the Williston Basin.</w:t>
      </w:r>
    </w:p>
    <w:p>
      <w:pPr>
        <w:spacing w:after="0" w:line="37"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Operation and maintenance expense increased $0.7 million compared to the nine months ended September 30, 2018 primarily due to an increase in environmental remediation costs in the Williston Basin.</w:t>
      </w:r>
    </w:p>
    <w:p>
      <w:pPr>
        <w:spacing w:after="0" w:line="3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$1.8 million compared to the three months ended September 30, 2018 primarily due to a $2.5 million decrease in compensation expense partially offset by a $1.2 million increase in professional service fees. For the three months ended September 30, 2018, we received a reimbursement of $0.6 million for previously paid professional fees.</w:t>
      </w:r>
    </w:p>
    <w:p>
      <w:pPr>
        <w:spacing w:after="0" w:line="4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General and administrative expense decreased $ 2.2 million compared to the nine months ended September 30, 2018 primarily due to a $5.1 million decrease in compensation expense and a $0.4 million decrease in professional service fees, partially offset by the recognition of $4.2 million in cash severance and unit-based compensation expense relating to our former Chief Executive Officer.</w:t>
      </w:r>
    </w:p>
    <w:p>
      <w:pPr>
        <w:spacing w:after="0" w:line="5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increased $ 0.7 million and $1.7 million compared to the three and nine months ended September 30, 2018, primarily due to the assets placed into service in the Permian Basin.</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nine months ended September 30, 2019 primarily relate to financial advisory costs primarily associated with the Equity Restructuring.</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54" w:right="319" w:bottom="1440" w:gutter="0" w:footer="0" w:header="0"/>
        </w:sectPr>
      </w:pPr>
    </w:p>
    <w:bookmarkStart w:id="43" w:name="page44"/>
    <w:bookmarkEnd w:id="43"/>
    <w:p>
      <w:pPr>
        <w:ind w:right="280"/>
        <w:spacing w:after="0" w:line="292"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$4.5 million and $10.0 million compared to the three and nine months ended September 30, 2018, primarily as a result of a higher average outstanding balance on the Revolving Credit Facility.</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and nine months ended September 30, 2019 represents the change in present value to Remaining Consideration in connection with the 2016 Drop Down (see Note 17 to the unaudited condensed consolidated financial statements).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additional information, see the "Segment Overview for the Three and Nine Months Ended September 30, 2019 and 2018" and "Corporate and Other Overview for the Three and Nine Months Ended September 30, 2019 and 2018" sections herein.</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454" w:right="41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Segment Overview for the Three and Nine Months Ended September 30,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Utica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13"/>
                <w:szCs w:val="13"/>
                <w:color w:val="auto"/>
              </w:rPr>
            </w:pPr>
          </w:p>
        </w:tc>
        <w:tc>
          <w:tcPr>
            <w:tcW w:w="184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tcPr>
          <w:p>
            <w:pPr>
              <w:jc w:val="center"/>
              <w:ind w:right="200"/>
              <w:spacing w:after="0" w:line="154" w:lineRule="exact"/>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184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3"/>
              </w:rPr>
              <w:t>290</w:t>
            </w:r>
          </w:p>
        </w:tc>
        <w:tc>
          <w:tcPr>
            <w:tcW w:w="1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357</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Volume throughput declined compared to the three and nine months ended September 30, 2018 due to natural production declines from existing wells on pad sites connected to the Summit Utica, partially offset by the completion of new wells at the end of the fourth quarter of 2018 and during the first three quarters of 2019. For the nine months ended September 30, 2019, volume throughput was impacted by an increase in temporary production curtailments associated with infill drilling, completion activity and other operational downtime associated with customers on existing pad sites.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Utica Shale</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451"/>
              <w:spacing w:after="0" w:line="154" w:lineRule="exact"/>
              <w:rPr>
                <w:sz w:val="20"/>
                <w:szCs w:val="20"/>
                <w:color w:val="auto"/>
              </w:rPr>
            </w:pPr>
            <w:r>
              <w:rPr>
                <w:rFonts w:ascii="Arial" w:cs="Arial" w:eastAsia="Arial" w:hAnsi="Arial"/>
                <w:sz w:val="14"/>
                <w:szCs w:val="14"/>
                <w:b w:val="1"/>
                <w:bCs w:val="1"/>
                <w:color w:val="auto"/>
              </w:rPr>
              <w:t>Nine months ended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8,865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7,974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23,951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28,437</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0"/>
        </w:trPr>
        <w:tc>
          <w:tcPr>
            <w:tcW w:w="3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8,865</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7,974</w:t>
            </w:r>
          </w:p>
        </w:tc>
        <w:tc>
          <w:tcPr>
            <w:tcW w:w="1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11%</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23,951</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28,437</w:t>
            </w:r>
          </w:p>
        </w:tc>
        <w:tc>
          <w:tcPr>
            <w:tcW w:w="1220" w:type="dxa"/>
            <w:vAlign w:val="bottom"/>
            <w:tcBorders>
              <w:top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(33%)</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3,672</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292</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5,773</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Loss on asset sales, net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1,265</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1,265</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7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4,605</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(37%)</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8,984</w:t>
            </w:r>
          </w:p>
        </w:tc>
        <w:tc>
          <w:tcPr>
            <w:tcW w:w="1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11,007</w:t>
            </w:r>
          </w:p>
        </w:tc>
        <w:tc>
          <w:tcPr>
            <w:tcW w:w="122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1,887</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5,773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Loss on asset sales, net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1,265</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1,265</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7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7,864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6,521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20,697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24,459</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increased $1.3 million compared to the three months ended September 30, 2018, primarily reflecting:</w:t>
      </w:r>
    </w:p>
    <w:p>
      <w:pPr>
        <w:spacing w:after="0" w:line="37" w:lineRule="exact"/>
        <w:rPr>
          <w:sz w:val="20"/>
          <w:szCs w:val="20"/>
          <w:color w:val="auto"/>
        </w:rPr>
      </w:pPr>
    </w:p>
    <w:p>
      <w:pPr>
        <w:ind w:left="800" w:right="80" w:hanging="400"/>
        <w:spacing w:after="0" w:line="247"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$0.9 million increase in gathering services and related fees due to a more favorable volume and gathering rate mix from customers partially offset by the volume throughput declines discussed above.</w:t>
      </w:r>
    </w:p>
    <w:p>
      <w:pPr>
        <w:ind w:left="800" w:hanging="400"/>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$0.4 million decrease in operation and maintenance expense.</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decreased $3.8 million compared to the nine months ended September 30, 2018, primarily reflecting:</w:t>
      </w:r>
    </w:p>
    <w:p>
      <w:pPr>
        <w:spacing w:after="0" w:line="37" w:lineRule="exact"/>
        <w:rPr>
          <w:sz w:val="20"/>
          <w:szCs w:val="20"/>
          <w:color w:val="auto"/>
        </w:rPr>
      </w:pPr>
    </w:p>
    <w:p>
      <w:pPr>
        <w:ind w:left="800" w:right="120" w:hanging="400"/>
        <w:spacing w:after="0" w:line="247" w:lineRule="auto"/>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$4.5 million decrease in gathering services and related fees from lower volume throughput as discussed above partially offset by a more favorable volume and gathering rate mix from customers.</w:t>
      </w:r>
    </w:p>
    <w:p>
      <w:pPr>
        <w:ind w:left="800" w:hanging="400"/>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decrease in operation and maintenance expense.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method. We recognize our proportionate share of earnings or loss in net income on a one-month lag based on the financial information available to us during the reporting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Ohio Gathering</w:t>
            </w: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1920" w:type="dxa"/>
            <w:vAlign w:val="bottom"/>
            <w:gridSpan w:val="4"/>
          </w:tcPr>
          <w:p>
            <w:pPr>
              <w:jc w:val="center"/>
              <w:ind w:left="268"/>
              <w:spacing w:after="0" w:line="154"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3"/>
          </w:tcPr>
          <w:p>
            <w:pPr>
              <w:jc w:val="center"/>
              <w:ind w:right="39"/>
              <w:spacing w:after="0" w:line="154" w:lineRule="exact"/>
              <w:rPr>
                <w:sz w:val="20"/>
                <w:szCs w:val="20"/>
                <w:color w:val="auto"/>
              </w:rPr>
            </w:pPr>
            <w:r>
              <w:rPr>
                <w:rFonts w:ascii="Arial" w:cs="Arial" w:eastAsia="Arial" w:hAnsi="Arial"/>
                <w:sz w:val="14"/>
                <w:szCs w:val="14"/>
                <w:b w:val="1"/>
                <w:bCs w:val="1"/>
                <w:color w:val="auto"/>
              </w:rPr>
              <w:t>Nine months ended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80" w:type="dxa"/>
            <w:vAlign w:val="bottom"/>
          </w:tcPr>
          <w:p>
            <w:pPr>
              <w:spacing w:after="0"/>
              <w:rPr>
                <w:sz w:val="15"/>
                <w:szCs w:val="15"/>
                <w:color w:val="auto"/>
              </w:rPr>
            </w:pPr>
          </w:p>
        </w:tc>
        <w:tc>
          <w:tcPr>
            <w:tcW w:w="192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w:t>
            </w:r>
          </w:p>
        </w:tc>
        <w:tc>
          <w:tcPr>
            <w:tcW w:w="222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99"/>
              </w:rPr>
              <w:t>777</w:t>
            </w: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797</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734</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765</w:t>
            </w:r>
          </w:p>
        </w:tc>
        <w:tc>
          <w:tcPr>
            <w:tcW w:w="1220" w:type="dxa"/>
            <w:vAlign w:val="bottom"/>
            <w:tcBorders>
              <w:top w:val="single" w:sz="8" w:color="auto"/>
            </w:tcBorders>
            <w:shd w:val="clear" w:color="auto" w:fill="CFF0FC"/>
          </w:tcPr>
          <w:p>
            <w:pPr>
              <w:jc w:val="center"/>
              <w:ind w:left="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Volume throughput for Ohio Gathering decreased compared to the three and nine months ended September 30, 2018 as a result of natural production declines on existing wells on the system, partially offset by the completion of new wells.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Ohio Gathering</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436"/>
              <w:spacing w:after="0" w:line="154" w:lineRule="exact"/>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ind w:left="180"/>
              <w:spacing w:after="0" w:line="154"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Proportional adjusted EBITDA for equity</w:t>
            </w: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method investees</w:t>
            </w:r>
          </w:p>
        </w:tc>
        <w:tc>
          <w:tcPr>
            <w:tcW w:w="7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10,435</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10,171</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29,584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29,583</w:t>
            </w:r>
          </w:p>
        </w:tc>
        <w:tc>
          <w:tcPr>
            <w:tcW w:w="1200" w:type="dxa"/>
            <w:vAlign w:val="bottom"/>
            <w:shd w:val="clear" w:color="auto" w:fill="CFF0FC"/>
          </w:tcPr>
          <w:p>
            <w:pPr>
              <w:jc w:val="center"/>
              <w:ind w:left="19"/>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0"/>
        </w:trPr>
        <w:tc>
          <w:tcPr>
            <w:tcW w:w="37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5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10,171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29,584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29,583</w:t>
            </w:r>
          </w:p>
        </w:tc>
        <w:tc>
          <w:tcPr>
            <w:tcW w:w="1200" w:type="dxa"/>
            <w:vAlign w:val="bottom"/>
          </w:tcPr>
          <w:p>
            <w:pPr>
              <w:jc w:val="center"/>
              <w:ind w:left="19"/>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Segment adjusted EBITDA for Ohio Gathering increased $0.3 million compared to the three months ended September 30, 2018 primarily as a result of lower expenses. Segment adjusted EBITDA for Ohio Gathering was flat compared to the nine months ended September 30, 2018.</w:t>
      </w:r>
    </w:p>
    <w:p>
      <w:pPr>
        <w:spacing w:after="0" w:line="3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Tioga Midstream (through March 22, 2019; refer to Note 17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details on the sale of Tioga Midstream) systems provide our midstream services for the Williston Basin reportable segment. Volume throughput for our Williston Basin reportable segment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Williston Basin</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380" w:type="dxa"/>
            <w:vAlign w:val="bottom"/>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Percentage</w:t>
            </w:r>
          </w:p>
        </w:tc>
        <w:tc>
          <w:tcPr>
            <w:tcW w:w="2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140" w:type="dxa"/>
            <w:vAlign w:val="bottom"/>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Aggregate average daily throughput -</w:t>
            </w: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natural gas (MMcf/d)</w:t>
            </w:r>
          </w:p>
        </w:tc>
        <w:tc>
          <w:tcPr>
            <w:tcW w:w="108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Aggregate average daily throughput -</w:t>
            </w: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liquids (Mbbl/d)</w:t>
            </w:r>
          </w:p>
        </w:tc>
        <w:tc>
          <w:tcPr>
            <w:tcW w:w="1080" w:type="dxa"/>
            <w:vAlign w:val="bottom"/>
            <w:shd w:val="clear" w:color="auto" w:fill="CFF0FC"/>
          </w:tcPr>
          <w:p>
            <w:pPr>
              <w:jc w:val="right"/>
              <w:ind w:right="241"/>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41"/>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and nine months ended September 30, 2018 primarily reflecting natural production declines, the sale of Tioga Midstream and operational downtime on the Bison Midstream system.</w:t>
      </w:r>
    </w:p>
    <w:p>
      <w:pPr>
        <w:spacing w:after="0" w:line="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increase in liquids volume throughput compared to the three and nine months ended September 30, 2018, primarily reflected well completion activity by existing customers on our Polar and Divide system in 2018 and during the first three quarters of 2019 as well as the addition of new customers, partially offset by the sale of Tioga Midstream and natural production declines.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Williston Basin</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411"/>
              <w:spacing w:after="0" w:line="154" w:lineRule="exact"/>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451"/>
              <w:spacing w:after="0" w:line="154" w:lineRule="exact"/>
              <w:rPr>
                <w:sz w:val="20"/>
                <w:szCs w:val="20"/>
                <w:color w:val="auto"/>
              </w:rPr>
            </w:pPr>
            <w:r>
              <w:rPr>
                <w:rFonts w:ascii="Arial" w:cs="Arial" w:eastAsia="Arial" w:hAnsi="Arial"/>
                <w:sz w:val="14"/>
                <w:szCs w:val="14"/>
                <w:b w:val="1"/>
                <w:bCs w:val="1"/>
                <w:color w:val="auto"/>
              </w:rPr>
              <w:t>Nine months ended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16,685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18,020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58,076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58,792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7,953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(76%)</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23,149</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3,037</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8,909</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21,118</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29,010</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77,440</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90,850</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4,605</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13,413</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8,578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5,920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18,630</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1,682</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5,672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14,958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16,903</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Loss (gain) on asset sales, net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13,679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16,516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39,419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50,691</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4,788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5,672</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14,958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16,903</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20" w:type="dxa"/>
            <w:vAlign w:val="bottom"/>
          </w:tcPr>
          <w:p>
            <w:pPr>
              <w:ind w:left="140"/>
              <w:spacing w:after="0" w:line="194" w:lineRule="exact"/>
              <w:rPr>
                <w:sz w:val="20"/>
                <w:szCs w:val="20"/>
                <w:color w:val="auto"/>
              </w:rPr>
            </w:pPr>
            <w:r>
              <w:rPr>
                <w:rFonts w:ascii="Arial" w:cs="Arial" w:eastAsia="Arial" w:hAnsi="Arial"/>
                <w:sz w:val="18"/>
                <w:szCs w:val="18"/>
                <w:color w:val="auto"/>
              </w:rPr>
              <w:t>Adjustments related to MVC shortfall</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340"/>
              <w:spacing w:after="0"/>
              <w:rPr>
                <w:sz w:val="20"/>
                <w:szCs w:val="20"/>
                <w:color w:val="auto"/>
              </w:rPr>
            </w:pPr>
            <w:r>
              <w:rPr>
                <w:rFonts w:ascii="Arial" w:cs="Arial" w:eastAsia="Arial" w:hAnsi="Arial"/>
                <w:sz w:val="18"/>
                <w:szCs w:val="18"/>
                <w:color w:val="auto"/>
              </w:rPr>
              <w:t>payments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(1,354)</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Loss (gain) on asset sales,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5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19,849</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49,224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54,849</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decreased $6.0 million compared to the three months ended September 30, 2018 primarily reflecting:</w:t>
      </w:r>
    </w:p>
    <w:p>
      <w:pPr>
        <w:spacing w:after="0" w:line="23" w:lineRule="exact"/>
        <w:rPr>
          <w:sz w:val="20"/>
          <w:szCs w:val="20"/>
          <w:color w:val="auto"/>
        </w:rPr>
      </w:pPr>
    </w:p>
    <w:p>
      <w:pPr>
        <w:ind w:left="800" w:right="120" w:hanging="400"/>
        <w:spacing w:after="0" w:line="245" w:lineRule="auto"/>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$2.2 million of segment adjusted EBITDA contributed by the Tioga Midstream system for the three months ended September 30, 2018 with no corresponding contribution in the three months ended September 30, 2019 due to the sale of Tioga Midstream on March 22, 2019. We also experienced lower natural gas volume throughput primarily reflecting natural production declines and operational downtime on the Bison Midstream system. This was partially offset by higher liquids volume throughput on our Polar and Divide system due to increased drilling and completion activity in 2018 and in the first nine months of 2019.</w:t>
      </w:r>
    </w:p>
    <w:p>
      <w:pPr>
        <w:spacing w:after="0" w:line="63" w:lineRule="exact"/>
        <w:rPr>
          <w:rFonts w:ascii="Times New Roman" w:cs="Times New Roman" w:eastAsia="Times New Roman" w:hAnsi="Times New Roman"/>
          <w:sz w:val="18"/>
          <w:szCs w:val="18"/>
          <w:color w:val="auto"/>
        </w:rPr>
      </w:pPr>
    </w:p>
    <w:p>
      <w:pPr>
        <w:ind w:left="800" w:right="920" w:hanging="400"/>
        <w:spacing w:after="0" w:line="275" w:lineRule="auto"/>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$2.7 million increase in operation and maintenance expense primarily related to a $2.0 million increase in environmental remediation costs.</w:t>
      </w:r>
    </w:p>
    <w:p>
      <w:pPr>
        <w:spacing w:after="0" w:line="38"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decreased $5.6 million compared to the nine months ended September 30, 2018 primarily reflecting:</w:t>
      </w:r>
    </w:p>
    <w:p>
      <w:pPr>
        <w:spacing w:after="0" w:line="23" w:lineRule="exact"/>
        <w:rPr>
          <w:sz w:val="20"/>
          <w:szCs w:val="20"/>
          <w:color w:val="auto"/>
        </w:rPr>
      </w:pPr>
    </w:p>
    <w:p>
      <w:pPr>
        <w:ind w:left="800" w:right="20" w:hanging="400"/>
        <w:spacing w:after="0" w:line="241"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$5.7 million of segment adjusted EBITDA contributed by the Tioga Midstream system compared to the nine months ended September 30, 2018 due to the sale of Tioga Midstream on March 22, 2019. We also experienced lower natural gas volume throughput primarily reflecting natural production declines and operational downtime on the Bison Midstream system. The operational downtime began with third party maintenance on infrastructure located downstream of the Bison Midstream system, which created an operational disruption on the Bison Midstream system for approximately 15 days during the second quarter and continued to impact throughput capacity through August 2019. This was partially offset by higher liquids volume throughput on our Polar and Divide system due to increased drilling and completion activity in 2018 and in the first nine months of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7" w:name="page48"/>
    <w:bookmarkEnd w:id="47"/>
    <w:p>
      <w:pPr>
        <w:ind w:right="280" w:firstLine="400"/>
        <w:spacing w:after="0" w:line="367" w:lineRule="auto"/>
        <w:tabs>
          <w:tab w:leader="none" w:pos="783"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$2.2 million increase in operation and maintenance expense primarily related to an increase in environmental remediation costs. Other items to note:</w:t>
      </w:r>
    </w:p>
    <w:p>
      <w:pPr>
        <w:ind w:left="800" w:right="260" w:hanging="400"/>
        <w:spacing w:after="0" w:line="248"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DJ Basin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54"/>
        </w:trPr>
        <w:tc>
          <w:tcPr>
            <w:tcW w:w="4280" w:type="dxa"/>
            <w:vAlign w:val="bottom"/>
          </w:tcPr>
          <w:p>
            <w:pPr>
              <w:spacing w:after="0"/>
              <w:rPr>
                <w:sz w:val="13"/>
                <w:szCs w:val="13"/>
                <w:color w:val="auto"/>
              </w:rPr>
            </w:pPr>
          </w:p>
        </w:tc>
        <w:tc>
          <w:tcPr>
            <w:tcW w:w="196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center"/>
              <w:ind w:right="480"/>
              <w:spacing w:after="0" w:line="154"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r>
      <w:tr>
        <w:trPr>
          <w:trHeight w:val="177"/>
        </w:trPr>
        <w:tc>
          <w:tcPr>
            <w:tcW w:w="4280" w:type="dxa"/>
            <w:vAlign w:val="bottom"/>
          </w:tcPr>
          <w:p>
            <w:pPr>
              <w:spacing w:after="0"/>
              <w:rPr>
                <w:sz w:val="15"/>
                <w:szCs w:val="15"/>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5"/>
                <w:szCs w:val="15"/>
                <w:color w:val="auto"/>
              </w:rPr>
            </w:pPr>
          </w:p>
        </w:tc>
      </w:tr>
      <w:tr>
        <w:trPr>
          <w:trHeight w:val="154"/>
        </w:trPr>
        <w:tc>
          <w:tcPr>
            <w:tcW w:w="4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5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87"/>
        </w:trPr>
        <w:tc>
          <w:tcPr>
            <w:tcW w:w="4280" w:type="dxa"/>
            <w:vAlign w:val="bottom"/>
            <w:tcBorders>
              <w:top w:val="single" w:sz="8" w:color="CFF0FC"/>
            </w:tcBorders>
            <w:shd w:val="clear" w:color="auto" w:fill="CFF0FC"/>
          </w:tcPr>
          <w:p>
            <w:pPr>
              <w:jc w:val="right"/>
              <w:ind w:right="2196"/>
              <w:spacing w:after="0" w:line="187" w:lineRule="exact"/>
              <w:rPr>
                <w:sz w:val="20"/>
                <w:szCs w:val="20"/>
                <w:color w:val="auto"/>
              </w:rPr>
            </w:pPr>
            <w:r>
              <w:rPr>
                <w:rFonts w:ascii="Arial" w:cs="Arial" w:eastAsia="Arial" w:hAnsi="Arial"/>
                <w:sz w:val="18"/>
                <w:szCs w:val="18"/>
                <w:color w:val="auto"/>
                <w:w w:val="98"/>
              </w:rPr>
              <w:t>Average daily throughput</w:t>
            </w:r>
          </w:p>
        </w:tc>
        <w:tc>
          <w:tcPr>
            <w:tcW w:w="74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r>
      <w:tr>
        <w:trPr>
          <w:trHeight w:val="225"/>
        </w:trPr>
        <w:tc>
          <w:tcPr>
            <w:tcW w:w="5020" w:type="dxa"/>
            <w:vAlign w:val="bottom"/>
            <w:gridSpan w:val="2"/>
            <w:shd w:val="clear" w:color="auto" w:fill="CFF0FC"/>
          </w:tcPr>
          <w:p>
            <w:pPr>
              <w:jc w:val="right"/>
              <w:ind w:right="4028"/>
              <w:spacing w:after="0"/>
              <w:rPr>
                <w:sz w:val="20"/>
                <w:szCs w:val="20"/>
                <w:color w:val="auto"/>
              </w:rPr>
            </w:pPr>
            <w:r>
              <w:rPr>
                <w:rFonts w:ascii="Arial" w:cs="Arial" w:eastAsia="Arial" w:hAnsi="Arial"/>
                <w:sz w:val="18"/>
                <w:szCs w:val="18"/>
                <w:color w:val="auto"/>
              </w:rPr>
              <w:t>(MMcf/d)</w:t>
            </w:r>
          </w:p>
        </w:tc>
        <w:tc>
          <w:tcPr>
            <w:tcW w:w="4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56%</w:t>
            </w:r>
          </w:p>
        </w:tc>
      </w:tr>
    </w:tbl>
    <w:p>
      <w:pPr>
        <w:spacing w:after="0" w:line="85" w:lineRule="exact"/>
        <w:rPr>
          <w:sz w:val="20"/>
          <w:szCs w:val="20"/>
          <w:color w:val="auto"/>
        </w:rPr>
      </w:pPr>
    </w:p>
    <w:p>
      <w:pPr>
        <w:jc w:val="both"/>
        <w:ind w:right="180"/>
        <w:spacing w:after="0" w:line="276" w:lineRule="auto"/>
        <w:rPr>
          <w:sz w:val="20"/>
          <w:szCs w:val="20"/>
          <w:color w:val="auto"/>
        </w:rPr>
      </w:pPr>
      <w:r>
        <w:rPr>
          <w:rFonts w:ascii="Arial" w:cs="Arial" w:eastAsia="Arial" w:hAnsi="Arial"/>
          <w:sz w:val="18"/>
          <w:szCs w:val="18"/>
          <w:color w:val="auto"/>
        </w:rPr>
        <w:t>Volume throughput increased compared to the three and nine months ended September 30, 2018, primarily as a result of ongoing drilling and completion activity across our service area partially offset by natural production declines.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DJ Basin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431"/>
              <w:spacing w:after="0" w:line="154" w:lineRule="exact"/>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431"/>
              <w:spacing w:after="0" w:line="154"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7,039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2,708</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14,784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7,395</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271</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962</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(24%)</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2,689</w:t>
            </w:r>
          </w:p>
        </w:tc>
        <w:tc>
          <w:tcPr>
            <w:tcW w:w="120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7,867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3,782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108%</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17,839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10,355</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1,661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4,768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(118%)</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649</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2,349</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34,759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2,167</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21%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42,662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7,810</w:t>
            </w:r>
          </w:p>
        </w:tc>
        <w:tc>
          <w:tcPr>
            <w:tcW w:w="120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446%</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2,349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gridSpan w:val="2"/>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6,554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2,248</w:t>
            </w:r>
          </w:p>
        </w:tc>
        <w:tc>
          <w:tcPr>
            <w:tcW w:w="1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192%</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12,043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4,528</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increased $4.3 million compared to the three months ended September 30, 2018, as a result of volume growth from ongoing drilling and completion activity and a more favorable volume and gathering rate mix from customers, partially offset by natural production declines.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60" w:hanging="400"/>
        <w:spacing w:after="0" w:line="275"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 the three months ended September 30, 2018, general and administrative expense includes a reimbursement of $0.6 million for previously paid professional fees.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8" w:name="page49"/>
    <w:bookmarkEnd w:id="48"/>
    <w:p>
      <w:pPr>
        <w:ind w:right="280"/>
        <w:spacing w:after="0" w:line="292"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increased $7.5 million compared to the nine months ended September 30, 2018, primarily reflecting:</w:t>
      </w:r>
    </w:p>
    <w:p>
      <w:pPr>
        <w:spacing w:after="0" w:line="23" w:lineRule="exact"/>
        <w:rPr>
          <w:sz w:val="20"/>
          <w:szCs w:val="20"/>
          <w:color w:val="auto"/>
        </w:rPr>
      </w:pPr>
    </w:p>
    <w:p>
      <w:pPr>
        <w:jc w:val="both"/>
        <w:ind w:left="800" w:right="700" w:hanging="400"/>
        <w:spacing w:after="0" w:line="255"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$7.4 million increase in gathering services and related fees primarily as a result of volume growth from ongoing drilling and completion activity and a more favorable volume and gathering rate mix from customers, partially offset by natural production declines.</w:t>
      </w:r>
    </w:p>
    <w:p>
      <w:pPr>
        <w:spacing w:after="0" w:line="55"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$0.9 million increase in operation and maintenance expense primarily due to higher costs to support volume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80" w:hanging="400"/>
        <w:spacing w:after="0" w:line="25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quarter ended March 31, 2019, we impaired certain long-lived assets in the DJ Basin (see Note 5 to the unaudited condensed consolidated financial statements). The impairment had no impact on segment adjusted EBITDA for the three and nine months ended September 30, 2019.</w:t>
      </w:r>
    </w:p>
    <w:p>
      <w:pPr>
        <w:spacing w:after="0" w:line="5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which commenced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late in the fourth quarter of 2018.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Average daily volume throughput during the three and nine months ended September 30, 2019 totaled 20 MMcf/d and 17 MMcf/d,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5"/>
          </w:tcPr>
          <w:p>
            <w:pPr>
              <w:jc w:val="right"/>
              <w:ind w:right="1632"/>
              <w:spacing w:after="0"/>
              <w:rPr>
                <w:sz w:val="20"/>
                <w:szCs w:val="20"/>
                <w:color w:val="auto"/>
              </w:rPr>
            </w:pPr>
            <w:r>
              <w:rPr>
                <w:rFonts w:ascii="Arial" w:cs="Arial" w:eastAsia="Arial" w:hAnsi="Arial"/>
                <w:sz w:val="14"/>
                <w:szCs w:val="14"/>
                <w:b w:val="1"/>
                <w:bCs w:val="1"/>
                <w:color w:val="auto"/>
              </w:rPr>
              <w:t>Permian Basin</w:t>
            </w:r>
          </w:p>
        </w:tc>
      </w:tr>
      <w:tr>
        <w:trPr>
          <w:trHeight w:val="154"/>
        </w:trPr>
        <w:tc>
          <w:tcPr>
            <w:tcW w:w="5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center"/>
              <w:ind w:right="480"/>
              <w:spacing w:after="0" w:line="154"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auto"/>
              </w:rPr>
              <w:t>Nine months ended</w:t>
            </w:r>
          </w:p>
        </w:tc>
      </w:tr>
      <w:tr>
        <w:trPr>
          <w:trHeight w:val="177"/>
        </w:trPr>
        <w:tc>
          <w:tcPr>
            <w:tcW w:w="5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September 30, 2019</w:t>
            </w:r>
          </w:p>
        </w:tc>
      </w:tr>
      <w:tr>
        <w:trPr>
          <w:trHeight w:val="210"/>
        </w:trPr>
        <w:tc>
          <w:tcPr>
            <w:tcW w:w="5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5"/>
          </w:tcPr>
          <w:p>
            <w:pPr>
              <w:jc w:val="right"/>
              <w:ind w:right="163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1,938</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3,797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10,424</w:t>
            </w:r>
          </w:p>
        </w:tc>
      </w:tr>
      <w:tr>
        <w:trPr>
          <w:trHeight w:val="21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9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w:t>
            </w:r>
          </w:p>
        </w:tc>
      </w:tr>
      <w:tr>
        <w:trPr>
          <w:trHeight w:val="21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9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4,885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12,545</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3,242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9,369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3,962</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1,312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3,547</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Long-lived asset impairment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8</w:t>
            </w:r>
          </w:p>
        </w:tc>
      </w:tr>
      <w:tr>
        <w:trPr>
          <w:trHeight w:val="210"/>
        </w:trPr>
        <w:tc>
          <w:tcPr>
            <w:tcW w:w="52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9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5,987</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16,976</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3,547</w:t>
            </w: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r>
      <w:tr>
        <w:trPr>
          <w:trHeight w:val="210"/>
        </w:trPr>
        <w:tc>
          <w:tcPr>
            <w:tcW w:w="52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9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u w:val="single" w:color="auto"/>
          <w:color w:val="auto"/>
        </w:rPr>
        <w:t>Three and Nine months ended September 30, 2019</w:t>
      </w:r>
      <w:r>
        <w:rPr>
          <w:rFonts w:ascii="Arial" w:cs="Arial" w:eastAsia="Arial" w:hAnsi="Arial"/>
          <w:sz w:val="18"/>
          <w:szCs w:val="18"/>
          <w:color w:val="auto"/>
        </w:rPr>
        <w:t>. Segment adjusted EBITDA totaled $0.2 million and ($1.0) million for the three and nine months ended September 30, 2019, respectively, primarily reflecting fixed operating costs associated with commissioning and operating the Lane processing plant and certain inefficiencies and higher fuel costs associated with lower plant utilization and initial production volumes.</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Piceance Basin reportable segment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Piceance Basin</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800" w:type="dxa"/>
            <w:vAlign w:val="bottom"/>
          </w:tcPr>
          <w:p>
            <w:pPr>
              <w:spacing w:after="0"/>
              <w:rPr>
                <w:sz w:val="13"/>
                <w:szCs w:val="13"/>
                <w:color w:val="auto"/>
              </w:rPr>
            </w:pPr>
          </w:p>
        </w:tc>
        <w:tc>
          <w:tcPr>
            <w:tcW w:w="2060" w:type="dxa"/>
            <w:vAlign w:val="bottom"/>
            <w:gridSpan w:val="4"/>
          </w:tcPr>
          <w:p>
            <w:pPr>
              <w:jc w:val="right"/>
              <w:ind w:right="160"/>
              <w:spacing w:after="0" w:line="154"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Percentage</w:t>
            </w:r>
          </w:p>
        </w:tc>
        <w:tc>
          <w:tcPr>
            <w:tcW w:w="2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120" w:type="dxa"/>
            <w:vAlign w:val="bottom"/>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3800" w:type="dxa"/>
            <w:vAlign w:val="bottom"/>
            <w:tcBorders>
              <w:top w:val="single" w:sz="8" w:color="CFF0FC"/>
            </w:tcBorders>
            <w:shd w:val="clear" w:color="auto" w:fill="CFF0FC"/>
          </w:tcPr>
          <w:p>
            <w:pPr>
              <w:jc w:val="right"/>
              <w:ind w:right="836"/>
              <w:spacing w:after="0" w:line="187" w:lineRule="exact"/>
              <w:rPr>
                <w:sz w:val="20"/>
                <w:szCs w:val="20"/>
                <w:color w:val="auto"/>
              </w:rPr>
            </w:pPr>
            <w:r>
              <w:rPr>
                <w:rFonts w:ascii="Arial" w:cs="Arial" w:eastAsia="Arial" w:hAnsi="Arial"/>
                <w:sz w:val="18"/>
                <w:szCs w:val="18"/>
                <w:color w:val="auto"/>
                <w:w w:val="99"/>
              </w:rPr>
              <w:t>Aggregate average daily throughput</w:t>
            </w:r>
          </w:p>
        </w:tc>
        <w:tc>
          <w:tcPr>
            <w:tcW w:w="7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FF0FC"/>
          </w:tcPr>
          <w:p>
            <w:pPr>
              <w:jc w:val="right"/>
              <w:ind w:right="3508"/>
              <w:spacing w:after="0"/>
              <w:rPr>
                <w:sz w:val="20"/>
                <w:szCs w:val="20"/>
                <w:color w:val="auto"/>
              </w:rPr>
            </w:pPr>
            <w:r>
              <w:rPr>
                <w:rFonts w:ascii="Arial" w:cs="Arial" w:eastAsia="Arial" w:hAnsi="Arial"/>
                <w:sz w:val="18"/>
                <w:szCs w:val="18"/>
                <w:color w:val="auto"/>
              </w:rPr>
              <w:t>(MMcf/d)</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436"/>
        </w:trPr>
        <w:tc>
          <w:tcPr>
            <w:tcW w:w="3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9" w:name="page50"/>
    <w:bookmarkEnd w:id="49"/>
    <w:p>
      <w:pPr>
        <w:ind w:right="80"/>
        <w:spacing w:after="0" w:line="276" w:lineRule="auto"/>
        <w:rPr>
          <w:sz w:val="20"/>
          <w:szCs w:val="20"/>
          <w:color w:val="auto"/>
        </w:rPr>
      </w:pPr>
      <w:r>
        <w:rPr>
          <w:rFonts w:ascii="Arial" w:cs="Arial" w:eastAsia="Arial" w:hAnsi="Arial"/>
          <w:sz w:val="18"/>
          <w:szCs w:val="18"/>
          <w:color w:val="auto"/>
        </w:rPr>
        <w:t>Volume throughput decreased compared to the three and nine months ended September 30, 2018, primarily as a result of a lack of drilling and completion activity and natural production declines.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Piceance Basin</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4"/>
          </w:tcPr>
          <w:p>
            <w:pPr>
              <w:jc w:val="right"/>
              <w:ind w:right="531"/>
              <w:spacing w:after="0" w:line="154" w:lineRule="exact"/>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280" w:type="dxa"/>
            <w:vAlign w:val="bottom"/>
            <w:vMerge w:val="restart"/>
          </w:tcPr>
          <w:p>
            <w:pPr>
              <w:jc w:val="center"/>
              <w:ind w:left="94"/>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5"/>
                <w:szCs w:val="15"/>
                <w:color w:val="auto"/>
              </w:rPr>
            </w:pPr>
          </w:p>
        </w:tc>
        <w:tc>
          <w:tcPr>
            <w:tcW w:w="25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2018</w:t>
            </w:r>
          </w:p>
        </w:tc>
        <w:tc>
          <w:tcPr>
            <w:tcW w:w="128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30,120</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34,035</w:t>
            </w:r>
          </w:p>
        </w:tc>
        <w:tc>
          <w:tcPr>
            <w:tcW w:w="1280" w:type="dxa"/>
            <w:vAlign w:val="bottom"/>
          </w:tcPr>
          <w:p>
            <w:pPr>
              <w:jc w:val="center"/>
              <w:ind w:left="74"/>
              <w:spacing w:after="0"/>
              <w:rPr>
                <w:sz w:val="20"/>
                <w:szCs w:val="20"/>
                <w:color w:val="auto"/>
              </w:rPr>
            </w:pPr>
            <w:r>
              <w:rPr>
                <w:rFonts w:ascii="Arial" w:cs="Arial" w:eastAsia="Arial" w:hAnsi="Arial"/>
                <w:sz w:val="18"/>
                <w:szCs w:val="18"/>
                <w:color w:val="auto"/>
                <w:w w:val="99"/>
              </w:rPr>
              <w:t>(12%)</w:t>
            </w: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92,515</w:t>
            </w:r>
          </w:p>
        </w:tc>
        <w:tc>
          <w:tcPr>
            <w:tcW w:w="12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100,812</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3"/>
        </w:trPr>
        <w:tc>
          <w:tcPr>
            <w:tcW w:w="3780" w:type="dxa"/>
            <w:vAlign w:val="bottom"/>
            <w:gridSpan w:val="2"/>
            <w:shd w:val="clear" w:color="auto" w:fill="CFF0FC"/>
          </w:tcPr>
          <w:p>
            <w:pPr>
              <w:spacing w:after="0" w:line="194" w:lineRule="exact"/>
              <w:rPr>
                <w:sz w:val="20"/>
                <w:szCs w:val="20"/>
                <w:color w:val="auto"/>
              </w:rPr>
            </w:pPr>
            <w:r>
              <w:rPr>
                <w:rFonts w:ascii="Arial" w:cs="Arial" w:eastAsia="Arial" w:hAnsi="Arial"/>
                <w:sz w:val="18"/>
                <w:szCs w:val="18"/>
                <w:color w:val="auto"/>
              </w:rPr>
              <w:t>Natural gas, NGLs and condensate</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3,538</w:t>
            </w:r>
          </w:p>
        </w:tc>
        <w:tc>
          <w:tcPr>
            <w:tcW w:w="128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9"/>
              </w:rPr>
              <w:t>(51%)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12,379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1,110</w:t>
            </w:r>
          </w:p>
        </w:tc>
        <w:tc>
          <w:tcPr>
            <w:tcW w:w="1280" w:type="dxa"/>
            <w:vAlign w:val="bottom"/>
            <w:tcBorders>
              <w:bottom w:val="single" w:sz="8" w:color="CFF0FC"/>
            </w:tcBorders>
          </w:tcPr>
          <w:p>
            <w:pPr>
              <w:jc w:val="center"/>
              <w:ind w:left="74"/>
              <w:spacing w:after="0"/>
              <w:rPr>
                <w:sz w:val="20"/>
                <w:szCs w:val="20"/>
                <w:color w:val="auto"/>
              </w:rPr>
            </w:pPr>
            <w:r>
              <w:rPr>
                <w:rFonts w:ascii="Arial" w:cs="Arial" w:eastAsia="Arial" w:hAnsi="Arial"/>
                <w:sz w:val="18"/>
                <w:szCs w:val="18"/>
                <w:color w:val="auto"/>
                <w:w w:val="99"/>
              </w:rPr>
              <w:t>13%</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33,111</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38,683</w:t>
            </w:r>
          </w:p>
        </w:tc>
        <w:tc>
          <w:tcPr>
            <w:tcW w:w="128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9"/>
              </w:rPr>
              <w:t>(14%)</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101,995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116,689</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2,264</w:t>
            </w:r>
          </w:p>
        </w:tc>
        <w:tc>
          <w:tcPr>
            <w:tcW w:w="128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9"/>
              </w:rPr>
              <w:t>(34%)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7,779</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8,623</w:t>
            </w:r>
          </w:p>
        </w:tc>
        <w:tc>
          <w:tcPr>
            <w:tcW w:w="1280" w:type="dxa"/>
            <w:vAlign w:val="bottom"/>
          </w:tcPr>
          <w:p>
            <w:pPr>
              <w:jc w:val="center"/>
              <w:ind w:left="74"/>
              <w:spacing w:after="0"/>
              <w:rPr>
                <w:sz w:val="20"/>
                <w:szCs w:val="20"/>
                <w:color w:val="auto"/>
              </w:rPr>
            </w:pPr>
            <w:r>
              <w:rPr>
                <w:rFonts w:ascii="Arial" w:cs="Arial" w:eastAsia="Arial" w:hAnsi="Arial"/>
                <w:sz w:val="18"/>
                <w:szCs w:val="18"/>
                <w:color w:val="auto"/>
                <w:w w:val="99"/>
              </w:rPr>
              <w:t>(16%)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21,680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26,004</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335</w:t>
            </w:r>
          </w:p>
        </w:tc>
        <w:tc>
          <w:tcPr>
            <w:tcW w:w="128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11,798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11,729</w:t>
            </w:r>
          </w:p>
        </w:tc>
        <w:tc>
          <w:tcPr>
            <w:tcW w:w="1280" w:type="dxa"/>
            <w:vAlign w:val="bottom"/>
          </w:tcPr>
          <w:p>
            <w:pPr>
              <w:jc w:val="center"/>
              <w:ind w:left="94"/>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35,399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35,168</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280" w:type="dxa"/>
            <w:vAlign w:val="bottom"/>
          </w:tcPr>
          <w:p>
            <w:pPr>
              <w:jc w:val="center"/>
              <w:ind w:left="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20,701</w:t>
            </w: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23,218</w:t>
            </w:r>
          </w:p>
        </w:tc>
        <w:tc>
          <w:tcPr>
            <w:tcW w:w="1280" w:type="dxa"/>
            <w:vAlign w:val="bottom"/>
            <w:tcBorders>
              <w:top w:val="single" w:sz="8" w:color="CFF0FC"/>
            </w:tcBorders>
            <w:shd w:val="clear" w:color="auto" w:fill="CFF0FC"/>
          </w:tcPr>
          <w:p>
            <w:pPr>
              <w:jc w:val="center"/>
              <w:ind w:left="94"/>
              <w:spacing w:after="0"/>
              <w:rPr>
                <w:sz w:val="20"/>
                <w:szCs w:val="20"/>
                <w:color w:val="auto"/>
              </w:rPr>
            </w:pPr>
            <w:r>
              <w:rPr>
                <w:rFonts w:ascii="Arial" w:cs="Arial" w:eastAsia="Arial" w:hAnsi="Arial"/>
                <w:sz w:val="18"/>
                <w:szCs w:val="18"/>
                <w:color w:val="auto"/>
                <w:w w:val="95"/>
              </w:rPr>
              <w:t>(11%)</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62,061</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70,261</w:t>
            </w:r>
          </w:p>
        </w:tc>
        <w:tc>
          <w:tcPr>
            <w:tcW w:w="1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11,729</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35,399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35,168</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Loss on asset sales, net</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ind w:left="140"/>
              <w:spacing w:after="0" w:line="194" w:lineRule="exact"/>
              <w:rPr>
                <w:sz w:val="20"/>
                <w:szCs w:val="20"/>
                <w:color w:val="auto"/>
              </w:rPr>
            </w:pPr>
            <w:r>
              <w:rPr>
                <w:rFonts w:ascii="Arial" w:cs="Arial" w:eastAsia="Arial" w:hAnsi="Arial"/>
                <w:sz w:val="18"/>
                <w:szCs w:val="18"/>
                <w:color w:val="auto"/>
              </w:rPr>
              <w:t>Adjustments related to MVC</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shortfall payments</w:t>
            </w:r>
          </w:p>
        </w:tc>
        <w:tc>
          <w:tcPr>
            <w:tcW w:w="2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80" w:type="dxa"/>
            <w:vAlign w:val="bottom"/>
            <w:gridSpan w:val="2"/>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122</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24,044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27,583</w:t>
            </w:r>
          </w:p>
        </w:tc>
        <w:tc>
          <w:tcPr>
            <w:tcW w:w="1280" w:type="dxa"/>
            <w:vAlign w:val="bottom"/>
          </w:tcPr>
          <w:p>
            <w:pPr>
              <w:jc w:val="center"/>
              <w:ind w:left="74"/>
              <w:spacing w:after="0"/>
              <w:rPr>
                <w:sz w:val="20"/>
                <w:szCs w:val="20"/>
                <w:color w:val="auto"/>
              </w:rPr>
            </w:pPr>
            <w:r>
              <w:rPr>
                <w:rFonts w:ascii="Arial" w:cs="Arial" w:eastAsia="Arial" w:hAnsi="Arial"/>
                <w:sz w:val="18"/>
                <w:szCs w:val="18"/>
                <w:color w:val="auto"/>
                <w:w w:val="99"/>
              </w:rPr>
              <w:t>(13%)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74,627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82,211</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decreased $3.5 million compared to the three months ended September 30, 2018, primarily reflecting:</w:t>
      </w:r>
    </w:p>
    <w:p>
      <w:pPr>
        <w:spacing w:after="0" w:line="51" w:lineRule="exact"/>
        <w:rPr>
          <w:sz w:val="20"/>
          <w:szCs w:val="20"/>
          <w:color w:val="auto"/>
        </w:rPr>
      </w:pPr>
    </w:p>
    <w:p>
      <w:pPr>
        <w:ind w:left="800" w:right="540" w:hanging="400"/>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$3.9 million decrease in gathering services and related fees as a result of a lack of drilling and completion activity and natural production declines.</w:t>
      </w:r>
    </w:p>
    <w:p>
      <w:pPr>
        <w:spacing w:after="0" w:line="37" w:lineRule="exact"/>
        <w:rPr>
          <w:rFonts w:ascii="Times New Roman" w:cs="Times New Roman" w:eastAsia="Times New Roman" w:hAnsi="Times New Roman"/>
          <w:sz w:val="18"/>
          <w:szCs w:val="18"/>
          <w:color w:val="auto"/>
        </w:rPr>
      </w:pPr>
    </w:p>
    <w:p>
      <w:pPr>
        <w:ind w:left="800" w:right="240" w:hanging="400"/>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$1.0 million decrease in natural gas, NGLs and condensate activity (sales and purchases) as a result of lower volume throughput and lower commodity prices associated with the sale of NGLs and condensate.</w:t>
      </w:r>
    </w:p>
    <w:p>
      <w:pPr>
        <w:spacing w:after="0" w:line="37" w:lineRule="exact"/>
        <w:rPr>
          <w:rFonts w:ascii="Times New Roman" w:cs="Times New Roman" w:eastAsia="Times New Roman" w:hAnsi="Times New Roman"/>
          <w:sz w:val="18"/>
          <w:szCs w:val="18"/>
          <w:color w:val="auto"/>
        </w:rPr>
      </w:pPr>
    </w:p>
    <w:p>
      <w:pPr>
        <w:ind w:left="800" w:right="580" w:hanging="400"/>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$1.4 million decrease in operation and maintenance expense primarily due to a $0.9 million reduction in planned compressor overhaul maintenance costs and $0.5 million in lower compensation expense.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0" w:name="page51"/>
    <w:bookmarkEnd w:id="50"/>
    <w:p>
      <w:pPr>
        <w:ind w:right="200"/>
        <w:spacing w:after="0" w:line="276"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decreased $7.6 million compared to the nine months ended September 30, 2018, primarily reflecting:</w:t>
      </w:r>
    </w:p>
    <w:p>
      <w:pPr>
        <w:spacing w:after="0" w:line="51" w:lineRule="exact"/>
        <w:rPr>
          <w:sz w:val="20"/>
          <w:szCs w:val="20"/>
          <w:color w:val="auto"/>
        </w:rPr>
      </w:pPr>
    </w:p>
    <w:p>
      <w:pPr>
        <w:ind w:left="800" w:right="780" w:hanging="400"/>
        <w:spacing w:after="0" w:line="275"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$8.3 million decrease in gathering services and related fees as a result of lower drilling and completion activity and natural production declines.</w:t>
      </w:r>
    </w:p>
    <w:p>
      <w:pPr>
        <w:spacing w:after="0" w:line="37" w:lineRule="exact"/>
        <w:rPr>
          <w:rFonts w:ascii="Times New Roman" w:cs="Times New Roman" w:eastAsia="Times New Roman" w:hAnsi="Times New Roman"/>
          <w:sz w:val="18"/>
          <w:szCs w:val="18"/>
          <w:color w:val="auto"/>
        </w:rPr>
      </w:pPr>
    </w:p>
    <w:p>
      <w:pPr>
        <w:ind w:left="800" w:right="240" w:hanging="400"/>
        <w:spacing w:after="0" w:line="275"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$2.7 million decrease in natural gas, NGLs and condensate activity (sales and purchases) as a result of lower volume throughput and lower commodity prices associated with the sale of NGLs and condensate.</w:t>
      </w:r>
    </w:p>
    <w:p>
      <w:pPr>
        <w:spacing w:after="0" w:line="37" w:lineRule="exact"/>
        <w:rPr>
          <w:rFonts w:ascii="Times New Roman" w:cs="Times New Roman" w:eastAsia="Times New Roman" w:hAnsi="Times New Roman"/>
          <w:sz w:val="18"/>
          <w:szCs w:val="18"/>
          <w:color w:val="auto"/>
        </w:rPr>
      </w:pPr>
    </w:p>
    <w:p>
      <w:pPr>
        <w:ind w:left="800" w:right="580" w:hanging="400"/>
        <w:spacing w:after="0" w:line="275"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$4.3 million decrease in operation and maintenance expense primarily due to a $2.7 million reduction in planned compressor overhaul maintenance costs and $1.3 million in lower compensation expense.</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Barnett Shale reportable segment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Barnett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92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220"/>
              <w:spacing w:after="0" w:line="154"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192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247</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232</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Volume throughput increased compared to the three and nine months ended September 30, 2018 reflecting new volumes from well completion activity during the first three quarters of 2019, partially offset by natural production declines.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Barnett Shale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431"/>
              <w:spacing w:after="0" w:line="154" w:lineRule="exact"/>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431"/>
              <w:spacing w:after="0" w:line="154"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11,286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18,318</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35,739</w:t>
            </w:r>
          </w:p>
        </w:tc>
        <w:tc>
          <w:tcPr>
            <w:tcW w:w="12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46,035</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789</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512%</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1,715</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583%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 (1)</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1,913</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5"/>
              </w:rPr>
              <w:t>(11%)</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5,595</w:t>
            </w: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17,820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21,020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52,452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53,345</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5,111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16,181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16,226</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784</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3,911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11,555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11,728</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30%</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45,680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28,664</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3,760</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12,542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11,276</w:t>
            </w: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ind w:left="140"/>
              <w:spacing w:after="0" w:line="194" w:lineRule="exact"/>
              <w:rPr>
                <w:sz w:val="20"/>
                <w:szCs w:val="20"/>
                <w:color w:val="auto"/>
              </w:rPr>
            </w:pPr>
            <w:r>
              <w:rPr>
                <w:rFonts w:ascii="Arial" w:cs="Arial" w:eastAsia="Arial" w:hAnsi="Arial"/>
                <w:sz w:val="18"/>
                <w:szCs w:val="18"/>
                <w:color w:val="auto"/>
              </w:rPr>
              <w:t>Adjustments related to MVC shortfall</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payments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80" w:type="dxa"/>
            <w:vAlign w:val="bottom"/>
            <w:gridSpan w:val="2"/>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w:t>
            </w: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981</w:t>
            </w: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Gain on asset sales,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10,236</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5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10,818</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33,483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31,770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and unfavorable (in 2018) gas gathering contracts as reported in other revenues.</w:t>
      </w:r>
    </w:p>
    <w:p>
      <w:pPr>
        <w:spacing w:after="0" w:line="108"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was flat compared to the three months ended September 30, 2018 primarily reflecting:</w:t>
      </w:r>
    </w:p>
    <w:p>
      <w:pPr>
        <w:spacing w:after="0" w:line="37" w:lineRule="exact"/>
        <w:rPr>
          <w:sz w:val="20"/>
          <w:szCs w:val="20"/>
          <w:color w:val="auto"/>
        </w:rPr>
      </w:pPr>
    </w:p>
    <w:p>
      <w:pPr>
        <w:ind w:left="800" w:right="140" w:hanging="400"/>
        <w:spacing w:after="0" w:line="243" w:lineRule="auto"/>
        <w:tabs>
          <w:tab w:leader="none" w:pos="8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$6.5 million increase in adjustments related to MVC shortfall payments attributable to the timing of revenue recognition, offset by a $7.0 million decrease in gathering services and related fees primarily reflecting lower volume throughput and unfavorable gathering rate mix on certain gathering services and related fees. Also impacting 2019 revenues was the presentation of $1.6 million of gathering services as a reduction to cost of natural gas and NGLs due to the assignment of certain marketing arrangements from Corporate and Other to our DFW Midstream operations. This was partially offset by higher volume throughput due to increased drilling and completion activity.</w:t>
      </w:r>
    </w:p>
    <w:p>
      <w:pPr>
        <w:spacing w:after="0" w:line="7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increased $1.7 million compared to the nine months ended September 30, 2018 primarily reflecting:</w:t>
      </w:r>
    </w:p>
    <w:p>
      <w:pPr>
        <w:spacing w:after="0" w:line="23" w:lineRule="exact"/>
        <w:rPr>
          <w:sz w:val="20"/>
          <w:szCs w:val="20"/>
          <w:color w:val="auto"/>
        </w:rPr>
      </w:pPr>
    </w:p>
    <w:p>
      <w:pPr>
        <w:ind w:left="800" w:right="40" w:hanging="400"/>
        <w:spacing w:after="0" w:line="245" w:lineRule="auto"/>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$9.5 million increase in adjustments related to MVC shortfall payments attributable to the timing of revenue recognition, partially offset by a $10.3 million decrease in gathering services and related fees primarily reflecting lower volume throughput and unfavorable gathering rate mix. Also impacting 2019 revenues was the presentation of $2.8 million of gathering services as a reduction to cost of natural gas and NGLs due to the assignment of certain marketing arrangements from Corporate and Other to our DFW Midstream operations. This was partially offset by higher volume throughput due to increased drilling and completion activity.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2" w:name="page53"/>
    <w:bookmarkEnd w:id="52"/>
    <w:p>
      <w:pPr>
        <w:ind w:left="800" w:right="160" w:hanging="400"/>
        <w:spacing w:after="0" w:line="255" w:lineRule="auto"/>
        <w:tabs>
          <w:tab w:leader="none" w:pos="8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we impaired certain long-lived assets in the Barnett Shale (see Note 5 to the unaudited condensed consolidated financial statements). The noncash impairment expense had no impact on segment adjusted EBITDA for the three and nine months ended September 30, 2019.</w:t>
      </w:r>
    </w:p>
    <w:p>
      <w:pPr>
        <w:spacing w:after="0" w:line="5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Marcellus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920" w:type="dxa"/>
            <w:vAlign w:val="bottom"/>
            <w:gridSpan w:val="4"/>
          </w:tcPr>
          <w:p>
            <w:pPr>
              <w:jc w:val="center"/>
              <w:ind w:left="228"/>
              <w:spacing w:after="0" w:line="154"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spacing w:after="0" w:line="154"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192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349</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450</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180"/>
        <w:spacing w:after="0" w:line="276" w:lineRule="auto"/>
        <w:rPr>
          <w:sz w:val="20"/>
          <w:szCs w:val="20"/>
          <w:color w:val="auto"/>
        </w:rPr>
      </w:pPr>
      <w:r>
        <w:rPr>
          <w:rFonts w:ascii="Arial" w:cs="Arial" w:eastAsia="Arial" w:hAnsi="Arial"/>
          <w:sz w:val="18"/>
          <w:szCs w:val="18"/>
          <w:color w:val="auto"/>
        </w:rPr>
        <w:t>Volume throughput decreased compared to the three months ended September 30, 2018 primarily due to natural production declines partially offset by throughput associated with a number of wells that were commissioned in the third quarter of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nine months ended September 30, 2018 primarily due to natural production declines.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Marcellus Shale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431"/>
              <w:spacing w:after="0" w:line="154" w:lineRule="exact"/>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311"/>
              <w:spacing w:after="0" w:line="154"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5,987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7,150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18,081</w:t>
            </w:r>
          </w:p>
        </w:tc>
        <w:tc>
          <w:tcPr>
            <w:tcW w:w="12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23,025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35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5,987</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7,150</w:t>
            </w:r>
          </w:p>
        </w:tc>
        <w:tc>
          <w:tcPr>
            <w:tcW w:w="1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18,081</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23,025</w:t>
            </w:r>
          </w:p>
        </w:tc>
        <w:tc>
          <w:tcPr>
            <w:tcW w:w="120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1,458</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3,884</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2,273</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6,819</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Goodwill impairment</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16,211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7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19,517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3,829</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410%</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26,384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11,012</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2,273</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60" w:type="dxa"/>
            <w:vAlign w:val="bottom"/>
            <w:gridSpan w:val="2"/>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5,550</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14,735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18,769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Three months ended September 30, 2019</w:t>
      </w:r>
      <w:r>
        <w:rPr>
          <w:rFonts w:ascii="Arial" w:cs="Arial" w:eastAsia="Arial" w:hAnsi="Arial"/>
          <w:sz w:val="18"/>
          <w:szCs w:val="18"/>
          <w:color w:val="auto"/>
        </w:rPr>
        <w:t>. Segment adjusted EBITDA decreased $0.6 million compared to the three months ended September 30, 2018 primarily reflecting:</w:t>
      </w:r>
    </w:p>
    <w:p>
      <w:pPr>
        <w:spacing w:after="0" w:line="37" w:lineRule="exact"/>
        <w:rPr>
          <w:sz w:val="20"/>
          <w:szCs w:val="20"/>
          <w:color w:val="auto"/>
        </w:rPr>
      </w:pPr>
    </w:p>
    <w:p>
      <w:pPr>
        <w:ind w:left="800" w:hanging="400"/>
        <w:spacing w:after="0"/>
        <w:tabs>
          <w:tab w:leader="none" w:pos="8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$1.2 million decrease in gathering services and related fees as a result of volume declines.</w:t>
      </w:r>
    </w:p>
    <w:p>
      <w:pPr>
        <w:spacing w:after="0" w:line="116" w:lineRule="exact"/>
        <w:rPr>
          <w:rFonts w:ascii="Times New Roman" w:cs="Times New Roman" w:eastAsia="Times New Roman" w:hAnsi="Times New Roman"/>
          <w:sz w:val="18"/>
          <w:szCs w:val="18"/>
          <w:color w:val="auto"/>
        </w:rPr>
      </w:pPr>
    </w:p>
    <w:p>
      <w:pPr>
        <w:ind w:right="2620" w:firstLine="400"/>
        <w:spacing w:after="0" w:line="367" w:lineRule="auto"/>
        <w:tabs>
          <w:tab w:leader="none" w:pos="783"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decrease in operation and maintenance expense primarily due to lower property taxes. Other items to note:</w:t>
      </w:r>
    </w:p>
    <w:p>
      <w:pPr>
        <w:ind w:left="800" w:right="120" w:hanging="400"/>
        <w:spacing w:after="0" w:line="255" w:lineRule="auto"/>
        <w:tabs>
          <w:tab w:leader="none" w:pos="8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In September 2019, we recorded a noncash, goodwill impairment charge of $16.2 million relating to the Mountaineer Midstream system in the Marcellus Shale (see Note 7 to the unaudited condensed consolidated financial statements). This noncash impairment expense had no impact on segment adjusted EBITDA for the three months ended September 30, 2019.</w:t>
      </w:r>
    </w:p>
    <w:p>
      <w:pPr>
        <w:spacing w:after="0" w:line="5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u w:val="single" w:color="auto"/>
          <w:color w:val="auto"/>
        </w:rPr>
        <w:t>Nine months ended September 30, 2019</w:t>
      </w:r>
      <w:r>
        <w:rPr>
          <w:rFonts w:ascii="Arial" w:cs="Arial" w:eastAsia="Arial" w:hAnsi="Arial"/>
          <w:sz w:val="18"/>
          <w:szCs w:val="18"/>
          <w:color w:val="auto"/>
        </w:rPr>
        <w:t>. Segment adjusted EBITDA decreased $4.0 million compared to the nine months ended September 30, 2018 primarily reflecting:</w:t>
      </w:r>
    </w:p>
    <w:p>
      <w:pPr>
        <w:spacing w:after="0" w:line="37" w:lineRule="exact"/>
        <w:rPr>
          <w:sz w:val="20"/>
          <w:szCs w:val="20"/>
          <w:color w:val="auto"/>
        </w:rPr>
      </w:pPr>
    </w:p>
    <w:p>
      <w:pPr>
        <w:ind w:left="5620" w:right="3260" w:hanging="5220"/>
        <w:spacing w:after="0" w:line="541" w:lineRule="auto"/>
        <w:tabs>
          <w:tab w:leader="none" w:pos="797"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$4.9 million decrease in gathering services and related fees as a result of volume declines.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3" w:name="page54"/>
    <w:bookmarkEnd w:id="53"/>
    <w:p>
      <w:pPr>
        <w:ind w:left="800" w:right="180" w:hanging="400"/>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$1.0 million decrease in operation and maintenance expense primarily due to a $0.5 million decrease in right-of-way maintenance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120" w:hanging="400"/>
        <w:spacing w:after="0" w:line="255" w:lineRule="auto"/>
        <w:tabs>
          <w:tab w:leader="none" w:pos="8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In September 2019, we recorded a noncash, goodwill impairment charge of $16.2 million relating to the Mountaineer Midstream system in the Marcellus Shale (see Note 7 to the unaudited condensed consolidated financial statements). This noncash impairment had no impact on segment adjusted EBITDA for the nine months ended September 30, 2019.</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Nine Months Ended September 30, 2019 and 2018</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interest expense and the change in the Deferred Purchase Price Obligation.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2200" w:type="dxa"/>
            <w:vAlign w:val="bottom"/>
            <w:gridSpan w:val="2"/>
          </w:tcPr>
          <w:p>
            <w:pPr>
              <w:jc w:val="right"/>
              <w:ind w:right="353"/>
              <w:spacing w:after="0" w:line="154" w:lineRule="exact"/>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right"/>
              <w:ind w:right="433"/>
              <w:spacing w:after="0" w:line="154"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00" w:type="dxa"/>
            <w:vAlign w:val="bottom"/>
          </w:tcPr>
          <w:p>
            <w:pPr>
              <w:spacing w:after="0"/>
              <w:rPr>
                <w:sz w:val="15"/>
                <w:szCs w:val="15"/>
                <w:color w:val="auto"/>
              </w:rPr>
            </w:pPr>
          </w:p>
        </w:tc>
        <w:tc>
          <w:tcPr>
            <w:tcW w:w="22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00" w:type="dxa"/>
            <w:vAlign w:val="bottom"/>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tcPr>
          <w:p>
            <w:pPr>
              <w:jc w:val="right"/>
              <w:ind w:right="196"/>
              <w:spacing w:after="0"/>
              <w:rPr>
                <w:sz w:val="20"/>
                <w:szCs w:val="20"/>
                <w:color w:val="auto"/>
              </w:rPr>
            </w:pPr>
            <w:r>
              <w:rPr>
                <w:rFonts w:ascii="Arial" w:cs="Arial" w:eastAsia="Arial" w:hAnsi="Arial"/>
                <w:sz w:val="18"/>
                <w:szCs w:val="18"/>
                <w:color w:val="auto"/>
              </w:rPr>
              <w:t>534</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19,860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26,978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50,281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12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19,988</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26,105</w:t>
            </w:r>
          </w:p>
        </w:tc>
        <w:tc>
          <w:tcPr>
            <w:tcW w:w="3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50,322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8,744</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10,974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33,872</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34,907</w:t>
            </w:r>
          </w:p>
        </w:tc>
        <w:tc>
          <w:tcPr>
            <w:tcW w:w="120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Transaction costs</w:t>
            </w:r>
          </w:p>
        </w:tc>
        <w:tc>
          <w:tcPr>
            <w:tcW w:w="1200" w:type="dxa"/>
            <w:vAlign w:val="bottom"/>
          </w:tcPr>
          <w:p>
            <w:pPr>
              <w:jc w:val="right"/>
              <w:ind w:right="196"/>
              <w:spacing w:after="0"/>
              <w:rPr>
                <w:sz w:val="20"/>
                <w:szCs w:val="20"/>
                <w:color w:val="auto"/>
              </w:rPr>
            </w:pPr>
            <w:r>
              <w:rPr>
                <w:rFonts w:ascii="Arial" w:cs="Arial" w:eastAsia="Arial" w:hAnsi="Arial"/>
                <w:sz w:val="18"/>
                <w:szCs w:val="18"/>
                <w:color w:val="auto"/>
              </w:rPr>
              <w:t>129</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1,079</w:t>
            </w:r>
          </w:p>
        </w:tc>
        <w:tc>
          <w:tcPr>
            <w:tcW w:w="3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19,335</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14,862</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54,803</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44,821</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1200" w:type="dxa"/>
            <w:vAlign w:val="bottom"/>
          </w:tcPr>
          <w:p>
            <w:pPr>
              <w:jc w:val="right"/>
              <w:ind w:right="196"/>
              <w:spacing w:after="0"/>
              <w:rPr>
                <w:sz w:val="20"/>
                <w:szCs w:val="20"/>
                <w:color w:val="auto"/>
              </w:rPr>
            </w:pPr>
            <w:r>
              <w:rPr>
                <w:rFonts w:ascii="Arial" w:cs="Arial" w:eastAsia="Arial" w:hAnsi="Arial"/>
                <w:sz w:val="18"/>
                <w:szCs w:val="18"/>
                <w:color w:val="auto"/>
              </w:rPr>
              <w:t>3,760</w:t>
            </w:r>
          </w:p>
        </w:tc>
        <w:tc>
          <w:tcPr>
            <w:tcW w:w="1000" w:type="dxa"/>
            <w:vAlign w:val="bottom"/>
          </w:tcPr>
          <w:p>
            <w:pPr>
              <w:jc w:val="right"/>
              <w:spacing w:after="0"/>
              <w:rPr>
                <w:sz w:val="20"/>
                <w:szCs w:val="20"/>
                <w:color w:val="auto"/>
              </w:rPr>
            </w:pPr>
            <w:r>
              <w:rPr>
                <w:rFonts w:ascii="Arial" w:cs="Arial" w:eastAsia="Arial" w:hAnsi="Arial"/>
                <w:sz w:val="18"/>
                <w:szCs w:val="18"/>
                <w:color w:val="auto"/>
              </w:rPr>
              <w:t>(37,204)</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11,899</w:t>
            </w:r>
          </w:p>
        </w:tc>
        <w:tc>
          <w:tcPr>
            <w:tcW w:w="3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53,759</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23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$19.3 million and $23.3 million for the three and nine months ended September 30, 2019, respectively, was attributable to lower natural gas, NGL and crude oil marketing activity.</w:t>
      </w:r>
    </w:p>
    <w:p>
      <w:pPr>
        <w:spacing w:after="0" w:line="5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$20.0 million and $24.2 million for the three and nine months ended September 30, 2019, respectively, was attributable to lower marketing activity.</w:t>
      </w:r>
    </w:p>
    <w:p>
      <w:pPr>
        <w:spacing w:after="0" w:line="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$2.2 million, compared to the three months ended September 30, 2018 primarily due to a $2.5 million decrease in compensation expense partially offset by a $0.5 million increase in professional service fees.</w:t>
      </w:r>
    </w:p>
    <w:p>
      <w:pPr>
        <w:spacing w:after="0" w:line="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General and administrative expense decreased $1.0 million, compared to the nine months ended September 30, 2018 primarily due to a $5.0 million decrease in compensation expense partially offset by the recognition of $4.2 million in cash severance and unit-based compensation expense relating to our former Chief Executive Officer.</w:t>
      </w:r>
    </w:p>
    <w:p>
      <w:pPr>
        <w:spacing w:after="0" w:line="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nine months ended September 30, 2019 primarily relate to financial advisory costs associated with the Equity Restructuring.</w:t>
      </w:r>
    </w:p>
    <w:p>
      <w:pPr>
        <w:spacing w:after="0" w:line="37"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$4.5 million and $10.0 million compared to the three and nine months ended September 30, 2018, respectively, primarily as a result of a higher average outstanding balance on the Revolving Credit Facility.</w:t>
      </w:r>
    </w:p>
    <w:p>
      <w:pPr>
        <w:spacing w:after="0" w:line="3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and nine months ended September 30, 2019 represents the change in present value to Remaining Consideration in connection with the 2016 Drop Down (see Note 17 to the unaudited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Based on the terms of our Partnership Agreement, we expect that we will distribute to our unitholders most of the cash generated by our operations. As a result, we expect to fund future capital expenditures from cash and cash equivalents on hand, cash flows generated from our operations, borrowings under our Revolving Credit Facility, future issuances of debt, equity and preferred equity securities and proceeds from potential asset divestitures.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had no capital markets activity during the nine months ended September 30, 2019. For additional information, see the "Liquidity and Capital Resources—Capital Markets Activity" section of MD&amp;A included in the 2018 Annual Report.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As of September 30, 2019, the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of the Revolving Credit Facility was $600.0 million and the unused portion totaled $640.9 million, after giving effect to the issuance thereunder of a $9.1 million outstanding but undrawn irrevocable standby letter of credit. There were no defaults or events of default during the nine months ended September 30, 2019, and, as of September 30, 2019, we were in compliance with the financial covenants in the Revolving Credit Facility. See Notes 10 and 16 to the unaudited condensed consolidated financial statements for more information on the Revolving Credit Facility and the issuance of the $9.1 million letter of credit,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of 5.75% Senior Notes. In July 2014, the Co-Issuers co-issued</w:t>
      </w:r>
    </w:p>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$300.0 million of 5.50% Senior Notes. There were no defaults or events of default as of and for the nine months ended September 30, 2019 on either series of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10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Purchase Price Obligation</w:t>
      </w:r>
    </w:p>
    <w:p>
      <w:pPr>
        <w:spacing w:after="0" w:line="10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March 2016, we entered into an agreement with a subsidiary of Summit Investments to fund a portion of the 2016 Drop Down whereby we have recognized the Deferred Purchase Price Obligation (see Notes 17 and 18 to the unaudited condensed consolidated financial statements and the “Contractual Obligations Update” section below).</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r>
      <w:tr>
        <w:trPr>
          <w:trHeight w:val="223"/>
        </w:trPr>
        <w:tc>
          <w:tcPr>
            <w:tcW w:w="5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9"/>
                <w:szCs w:val="19"/>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143,419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166,492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(65,287)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(136,746)</w:t>
            </w: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(77,427)</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(30,806)</w:t>
            </w:r>
          </w:p>
        </w:tc>
      </w:tr>
      <w:tr>
        <w:trPr>
          <w:trHeight w:val="210"/>
        </w:trPr>
        <w:tc>
          <w:tcPr>
            <w:tcW w:w="564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2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r>
      <w:tr>
        <w:trPr>
          <w:trHeight w:val="20"/>
        </w:trPr>
        <w:tc>
          <w:tcPr>
            <w:tcW w:w="5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nine months ended September 30, 2019 primarily reflected:</w:t>
      </w:r>
    </w:p>
    <w:p>
      <w:pPr>
        <w:spacing w:after="0" w:line="117" w:lineRule="exact"/>
        <w:rPr>
          <w:sz w:val="20"/>
          <w:szCs w:val="20"/>
          <w:color w:val="auto"/>
        </w:rPr>
      </w:pPr>
    </w:p>
    <w:p>
      <w:pPr>
        <w:ind w:left="800" w:hanging="400"/>
        <w:spacing w:after="0"/>
        <w:tabs>
          <w:tab w:leader="none" w:pos="8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 $10.0 million increase in cash interest payments;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used in investing activities during the nine months ended September 30, 2019 primarily reflected:</w:t>
      </w:r>
    </w:p>
    <w:p>
      <w:pPr>
        <w:spacing w:after="0" w:line="117" w:lineRule="exact"/>
        <w:rPr>
          <w:sz w:val="20"/>
          <w:szCs w:val="20"/>
          <w:color w:val="auto"/>
        </w:rPr>
      </w:pPr>
    </w:p>
    <w:p>
      <w:pPr>
        <w:ind w:left="800" w:right="480" w:hanging="400"/>
        <w:spacing w:after="0" w:line="255" w:lineRule="auto"/>
        <w:tabs>
          <w:tab w:leader="none" w:pos="8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$151.7 million of capital expenditures primarily attributable to the ongoing development of the DJ Basin of $66.8 million, Summit Permian of $43.4 million, the Williston Basin of $20.3 million and Corporate and Other, which includes $15.4 million of capital expenditures relating to the Project;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5" w:name="page56"/>
    <w:bookmarkEnd w:id="55"/>
    <w:p>
      <w:pPr>
        <w:ind w:left="800" w:hanging="400"/>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$89.5 million of net proceeds from the Tioga Midstream sale;</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$7.3 million for a distribution from an equity method investment;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$11.3 million for investments in Double E relating to the Project.</w:t>
      </w:r>
    </w:p>
    <w:p>
      <w:pPr>
        <w:spacing w:after="0" w:line="1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flows used in investing activities during the nine months ended September 30, 2018 primarily reflected $137.0 million of capital expenditures attributable to the ongoing development of Summit Permian of $67.6 million, the DJ Basin of $38.9 million, the Williston Basin of $18.5 million, the Piceance Basin of $5.3 million and Summit Utica of $3.9 million.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nine months ended September 30, 2019 primarily reflected:</w:t>
      </w:r>
    </w:p>
    <w:p>
      <w:pPr>
        <w:spacing w:after="0" w:line="117" w:lineRule="exact"/>
        <w:rPr>
          <w:sz w:val="20"/>
          <w:szCs w:val="20"/>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$107.1 million of distributions;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$134.0 million of net borrowings under our Revolving Credit Facility;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$100.0 million payment on the Deferred Purchase Price Obligation.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nine months ended September 30, 2018 primarily reflected:</w:t>
      </w:r>
    </w:p>
    <w:p>
      <w:pPr>
        <w:spacing w:after="0" w:line="104" w:lineRule="exact"/>
        <w:rPr>
          <w:sz w:val="20"/>
          <w:szCs w:val="20"/>
          <w:color w:val="auto"/>
        </w:rPr>
      </w:pPr>
    </w:p>
    <w:p>
      <w:pPr>
        <w:ind w:left="800" w:hanging="400"/>
        <w:spacing w:after="0"/>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$149.7 million of distributions;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$123.0 million of net borrowings under our Revolving Credit Facility.</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Contractual Obligations Update</w:t>
      </w:r>
    </w:p>
    <w:p>
      <w:pPr>
        <w:spacing w:after="0" w:line="10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March 2016, we recognized the Deferred Purchase Price Obligation in connection with the 2016 Drop Down. Pursuant to the Equity Restructuring, in April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17 and 18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56" w:lineRule="exact"/>
        <w:rPr>
          <w:sz w:val="20"/>
          <w:szCs w:val="20"/>
          <w:color w:val="auto"/>
        </w:rPr>
      </w:pPr>
    </w:p>
    <w:p>
      <w:pPr>
        <w:ind w:left="800" w:hanging="400"/>
        <w:spacing w:after="0" w:line="255" w:lineRule="auto"/>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55" w:lineRule="exact"/>
        <w:rPr>
          <w:rFonts w:ascii="Times New Roman" w:cs="Times New Roman" w:eastAsia="Times New Roman" w:hAnsi="Times New Roman"/>
          <w:sz w:val="18"/>
          <w:szCs w:val="18"/>
          <w:color w:val="auto"/>
        </w:rPr>
      </w:pPr>
    </w:p>
    <w:p>
      <w:pPr>
        <w:ind w:left="800" w:right="340" w:hanging="400"/>
        <w:spacing w:after="0" w:line="275" w:lineRule="auto"/>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September 30, 2019, cash paid for capital expenditures totaled $151.7 million (see Note 4 to the unaudited condensed consolidated financial statements) which included $10.6 million of maintenance capital expenditures. For the nine months ended September 30, 2019, there were no contributions to Ohio Gathering and we contributed $11.3 million to Double E (see Note 8 to the unaudited condensed consolidated financial statements).</w:t>
      </w:r>
    </w:p>
    <w:p>
      <w:pPr>
        <w:spacing w:after="0" w:line="5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together with internally generated cash flow and financial support from our Sponsor and/or access to debt or equity capital markets, will be adequate to finance our growth objectives for the foreseeable future without adversely impacting our liquidity or our ability to make quarterly cash distributions to our unitholders.</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With the completion of our 60 MMcf/d DJ Basin processing plant and compression expansions in the Permian Basin, capital expenditures began to wind down in the third quarter and are expected to decline further in the fourth quarter of 2019. We will remain disciplined with respect to future capital expenditures, which will be primarily concentrated on the Double E Pipeline project and accretive expansions of our existing systems in our Core Focus Areas. We continue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56" w:name="page57"/>
    <w:bookmarkEnd w:id="56"/>
    <w:p>
      <w:pPr>
        <w:ind w:right="120"/>
        <w:spacing w:after="0" w:line="248" w:lineRule="auto"/>
        <w:rPr>
          <w:sz w:val="20"/>
          <w:szCs w:val="20"/>
          <w:color w:val="auto"/>
        </w:rPr>
      </w:pPr>
      <w:r>
        <w:rPr>
          <w:rFonts w:ascii="Arial" w:cs="Arial" w:eastAsia="Arial" w:hAnsi="Arial"/>
          <w:sz w:val="18"/>
          <w:szCs w:val="18"/>
          <w:color w:val="auto"/>
        </w:rPr>
        <w:t>to advance our financing plans for our equity interest in Double E, which we intend to be credit neutral to Summit. We are currently targeting a financing structure that requires no further cash outlays or payments by us during the construction period, and which shifts a substantial majority of our Double E capital commitments to third parties beginning in the first quarter of 2020. Excluding Double E, we estimate that our 2020 capital program will be less than $75 million.</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 with third parties; (ii) prevailing conditions and outlook in the natural gas, crude oil and natural gas liquids industries and markets and (iii) our ability to obtain financing from commercial banks, the capital markets, or other financing sources.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and 11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nine months ended September 30, 2019.</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Critical Accounting Estimates</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2018 except for the adoption of Topic 842 (see Note 2 to the unaudited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1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our subsidiaries, Summit Investments or our Sponsor, are also forward-looking statements. These forward-looking statements involve various risks and uncertainties, including, but not limited to, those described in Item 1A. Risk Factors included in this report.</w:t>
      </w:r>
    </w:p>
    <w:p>
      <w:pPr>
        <w:spacing w:after="0" w:line="7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63" w:lineRule="exact"/>
        <w:rPr>
          <w:sz w:val="20"/>
          <w:szCs w:val="20"/>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grow, or maintain, our current rate of cash distributions;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natural gas, NGLs and crude oil prices;</w:t>
      </w:r>
    </w:p>
    <w:p>
      <w:pPr>
        <w:spacing w:after="0" w:line="116"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16" w:lineRule="exact"/>
        <w:rPr>
          <w:rFonts w:ascii="Times New Roman" w:cs="Times New Roman" w:eastAsia="Times New Roman" w:hAnsi="Times New Roman"/>
          <w:sz w:val="18"/>
          <w:szCs w:val="18"/>
          <w:color w:val="auto"/>
        </w:rPr>
      </w:pPr>
    </w:p>
    <w:p>
      <w:pPr>
        <w:ind w:left="800" w:right="60" w:hanging="400"/>
        <w:spacing w:after="0" w:line="275"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37" w:lineRule="exact"/>
        <w:rPr>
          <w:rFonts w:ascii="Times New Roman" w:cs="Times New Roman" w:eastAsia="Times New Roman" w:hAnsi="Times New Roman"/>
          <w:sz w:val="18"/>
          <w:szCs w:val="18"/>
          <w:color w:val="auto"/>
        </w:rPr>
      </w:pPr>
    </w:p>
    <w:p>
      <w:pPr>
        <w:ind w:left="800" w:right="80" w:hanging="400"/>
        <w:spacing w:after="0" w:line="248"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62" w:lineRule="exact"/>
        <w:rPr>
          <w:rFonts w:ascii="Times New Roman" w:cs="Times New Roman" w:eastAsia="Times New Roman" w:hAnsi="Times New Roman"/>
          <w:sz w:val="18"/>
          <w:szCs w:val="18"/>
          <w:color w:val="auto"/>
        </w:rPr>
      </w:pPr>
    </w:p>
    <w:p>
      <w:pPr>
        <w:ind w:left="800" w:hanging="400"/>
        <w:spacing w:after="0" w:line="275"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acquire assets owned by third parties, which is subject to a number of factors, including prevailing conditions and outlook in the natural gas, NGL and crude oil industries and markets and our ability to obtain financing on acceptable terms;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attract and retain key management personnel;</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116"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16" w:lineRule="exact"/>
        <w:rPr>
          <w:rFonts w:ascii="Times New Roman" w:cs="Times New Roman" w:eastAsia="Times New Roman" w:hAnsi="Times New Roman"/>
          <w:sz w:val="18"/>
          <w:szCs w:val="18"/>
          <w:color w:val="auto"/>
        </w:rPr>
      </w:pPr>
    </w:p>
    <w:p>
      <w:pPr>
        <w:ind w:left="800" w:right="720" w:hanging="400"/>
        <w:spacing w:after="0" w:line="275" w:lineRule="auto"/>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weather conditions and terrain in certain areas in which we operate;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ind w:left="800" w:right="420" w:hanging="400"/>
        <w:spacing w:after="0" w:line="275" w:lineRule="auto"/>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37" w:lineRule="exact"/>
        <w:rPr>
          <w:rFonts w:ascii="Times New Roman" w:cs="Times New Roman" w:eastAsia="Times New Roman" w:hAnsi="Times New Roman"/>
          <w:sz w:val="18"/>
          <w:szCs w:val="18"/>
          <w:color w:val="auto"/>
        </w:rPr>
      </w:pPr>
    </w:p>
    <w:p>
      <w:pPr>
        <w:ind w:left="800" w:right="220" w:hanging="400"/>
        <w:spacing w:after="0" w:line="306" w:lineRule="auto"/>
        <w:tabs>
          <w:tab w:leader="none" w:pos="80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13" w:lineRule="exact"/>
        <w:rPr>
          <w:rFonts w:ascii="Times New Roman" w:cs="Times New Roman" w:eastAsia="Times New Roman" w:hAnsi="Times New Roman"/>
          <w:sz w:val="17"/>
          <w:szCs w:val="17"/>
          <w:color w:val="auto"/>
        </w:rPr>
      </w:pPr>
    </w:p>
    <w:p>
      <w:pPr>
        <w:ind w:left="800" w:right="100" w:hanging="400"/>
        <w:spacing w:after="0" w:line="275" w:lineRule="auto"/>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finance our obligations related to the capital expenditures required for our projects, including potential asset divestitures and the impact any such divestitures could have on our results;</w:t>
      </w:r>
    </w:p>
    <w:p>
      <w:pPr>
        <w:spacing w:after="0" w:line="37" w:lineRule="exact"/>
        <w:rPr>
          <w:rFonts w:ascii="Times New Roman" w:cs="Times New Roman" w:eastAsia="Times New Roman" w:hAnsi="Times New Roman"/>
          <w:sz w:val="18"/>
          <w:szCs w:val="18"/>
          <w:color w:val="auto"/>
        </w:rPr>
      </w:pPr>
    </w:p>
    <w:p>
      <w:pPr>
        <w:ind w:left="800" w:hanging="400"/>
        <w:spacing w:after="0" w:line="322" w:lineRule="auto"/>
        <w:tabs>
          <w:tab w:leader="none" w:pos="80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4" w:lineRule="exact"/>
        <w:rPr>
          <w:rFonts w:ascii="Times New Roman" w:cs="Times New Roman" w:eastAsia="Times New Roman" w:hAnsi="Times New Roman"/>
          <w:sz w:val="17"/>
          <w:szCs w:val="17"/>
          <w:color w:val="auto"/>
        </w:rPr>
      </w:pPr>
    </w:p>
    <w:p>
      <w:pPr>
        <w:ind w:left="800" w:hanging="400"/>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status;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litigation;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conditions;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certain factors discussed elsewhere in this report.</w:t>
      </w:r>
    </w:p>
    <w:p>
      <w:pPr>
        <w:spacing w:after="0" w:line="116"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3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0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current interest rate risk exposure is largely related to our debt portfolio. As of September 30, 2019, we had $ 800.0 million principal of fixed-rate Senior Notes and $600.0 million outstanding under our variable rate Revolving Credit Facility (see Note 10 to the unaudited condensed consolidated financial statements).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2018. For additional information, see the "Interest Rate Risk" section included in Item 7A. Quantitative and Qualitative Disclosures About Market Risk of the 2018 Annual Report.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Commodity Price Risk</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on the Bison Midstream, Grand River and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Henry Hub Index and/or the Atmos Zone 3 Index. By basing the power prices on an index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2018. For additional information, see the "Commodity Price Risk" section included in Item 7A. Quantitative and Qualitative Disclosures About Market Risk of the 2018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September 30, 2019 and (ii) no change in internal control over financial reporting occurred during the quarter ended September 30, 2019, that has materially affected, or is reasonably likely to materially affect, our internal control over financial reporting.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6" w:right="27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proceedings contemplated to be brought against us, under the various environmental protection statutes to which we are subject, except as noted in Note 16 to our unaudited condensed consolidated financial statements “Commitments and Contingencies” and in the 2018 Annual Report, which is incorporated herein by reference.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On October 18, 2019, a petition was filed in the District Court of Tarrant County, Texas by Sage Natural Resources, LLC (the “plaintiff”) against us and certain of our affiliates. The plaintiff is a party to a gathering agreement with DFW Midstream and a gas marketing agreement with Summit Midstream Marketing, LLC. In its petition, the plaintiff alleges various claims relating to the fees it was charged pursuant to the terms of these agreements, including breach of contract, fraud, fraudulent inducement, tortious interference, and negligent misrepresentation, as well as certain discriminatory rate claims under Texas law. The plaintiff seeks a rescission of the gas marketing agreement and the gas gathering agreement, as well as actual and exemplary damages and attorney’s fees. While we cannot predict the ultimate outcome of this matter with certainty, we do not believe that it is likely that we or our affiliates will be subject to any material liability as a result of this matter and are defending ourselves vigorously against the plaintiff’s claims.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risk factors contained in the Item 1A. Risk Factors of (i) the 2018 Annual Report and (ii) the Quarterly Report on Form 10-Q for the quarterly period ended March 31, 2019 as filed with the SEC on May 10, 2019 are incorporated herein by reference except to the extent they address risks arising from or relating to the failure of events described therein to occur, which events have since occurred.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Item 6. Exhibits.</w:t>
      </w:r>
    </w:p>
    <w:p>
      <w:pPr>
        <w:spacing w:after="0" w:line="14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20" w:type="dxa"/>
            <w:vAlign w:val="bottom"/>
            <w:tcBorders>
              <w:top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5"/>
                <w:szCs w:val="15"/>
                <w:color w:val="auto"/>
              </w:rPr>
            </w:pPr>
          </w:p>
        </w:tc>
        <w:tc>
          <w:tcPr>
            <w:tcW w:w="10060" w:type="dxa"/>
            <w:vAlign w:val="bottom"/>
            <w:tcBorders>
              <w:top w:val="single" w:sz="8" w:color="auto"/>
            </w:tcBorders>
            <w:gridSpan w:val="18"/>
            <w:shd w:val="clear" w:color="auto" w:fill="CFF0FC"/>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Third Amended and Restated Agreement of Limited Partnership of Summit Midstream Partners, LP, dated as of March 22,</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700" w:type="dxa"/>
            <w:vAlign w:val="bottom"/>
            <w:tcBorders>
              <w:top w:val="single" w:sz="8" w:color="0000EE"/>
            </w:tcBorders>
            <w:gridSpan w:val="10"/>
            <w:shd w:val="clear" w:color="auto" w:fill="CFF0FC"/>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2019 (Incorporated herein by reference to Exhibit 3.1 to SMLP's Current Report on Form 8-K dated March 22, 2019</w:t>
              </w:r>
            </w:hyperlink>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160" w:type="dxa"/>
            <w:vAlign w:val="bottom"/>
            <w:tcBorders>
              <w:top w:val="single" w:sz="8" w:color="0000EE"/>
            </w:tcBorders>
            <w:gridSpan w:val="8"/>
            <w:shd w:val="clear" w:color="auto" w:fill="CFF0FC"/>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(Commission File No. 001-35666))</w:t>
              </w:r>
            </w:hyperlink>
          </w:p>
        </w:tc>
        <w:tc>
          <w:tcPr>
            <w:tcW w:w="2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CFF0FC"/>
            </w:tcBorders>
            <w:gridSpan w:val="2"/>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44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6"/>
                <w:szCs w:val="16"/>
                <w:color w:val="auto"/>
              </w:rPr>
            </w:pPr>
          </w:p>
        </w:tc>
        <w:tc>
          <w:tcPr>
            <w:tcW w:w="10060" w:type="dxa"/>
            <w:vAlign w:val="bottom"/>
            <w:gridSpan w:val="18"/>
          </w:tcPr>
          <w:p>
            <w:pPr>
              <w:spacing w:after="0" w:line="189"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Limited Liability Company Agreement of Summit Midstream GP, LLC, dated as of October 3, 2012</w:t>
              </w:r>
            </w:hyperlink>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(Incorporated herein by reference to Exhibit 3.2 to SMLP's Current Report on Form 8-K filed October 4, 2012 (Commission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gridSpan w:val="13"/>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File No. 001-35666))</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
        </w:trPr>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120" w:type="dxa"/>
            <w:vAlign w:val="bottom"/>
            <w:shd w:val="clear" w:color="auto" w:fill="CFF0FC"/>
          </w:tcPr>
          <w:p>
            <w:pPr>
              <w:jc w:val="right"/>
              <w:ind w:right="270"/>
              <w:spacing w:after="0" w:line="189" w:lineRule="exact"/>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6"/>
                <w:szCs w:val="16"/>
                <w:color w:val="auto"/>
              </w:rPr>
            </w:pPr>
          </w:p>
        </w:tc>
        <w:tc>
          <w:tcPr>
            <w:tcW w:w="10060" w:type="dxa"/>
            <w:vAlign w:val="bottom"/>
            <w:gridSpan w:val="18"/>
            <w:shd w:val="clear" w:color="auto" w:fill="CFF0FC"/>
          </w:tcPr>
          <w:p>
            <w:pPr>
              <w:spacing w:after="0" w:line="189" w:lineRule="exact"/>
              <w:rPr>
                <w:rFonts w:ascii="Arial" w:cs="Arial" w:eastAsia="Arial" w:hAnsi="Arial"/>
                <w:sz w:val="18"/>
                <w:szCs w:val="18"/>
                <w:color w:val="0000EE"/>
              </w:rPr>
            </w:pPr>
            <w:hyperlink r:id="rId87">
              <w:r>
                <w:rPr>
                  <w:rFonts w:ascii="Arial" w:cs="Arial" w:eastAsia="Arial" w:hAnsi="Arial"/>
                  <w:sz w:val="18"/>
                  <w:szCs w:val="18"/>
                  <w:color w:val="0000EE"/>
                </w:rPr>
                <w:t>Certificate of Limited Partnership of Summit Midstream Partners, LP (Incorporated herein by reference to Exhibit 3.1 to</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060" w:type="dxa"/>
            <w:vAlign w:val="bottom"/>
            <w:tcBorders>
              <w:top w:val="single" w:sz="8" w:color="0000EE"/>
              <w:bottom w:val="single" w:sz="8" w:color="0000EE"/>
            </w:tcBorders>
            <w:gridSpan w:val="6"/>
            <w:shd w:val="clear" w:color="auto" w:fill="CFF0FC"/>
          </w:tcPr>
          <w:p>
            <w:pPr>
              <w:spacing w:after="0" w:line="182"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SMLP's Form S-1 Registration Statement dated August 21, 2012 (Commission File No. 333-183466))</w:t>
              </w:r>
            </w:hyperlink>
          </w:p>
        </w:tc>
        <w:tc>
          <w:tcPr>
            <w:tcW w:w="1360" w:type="dxa"/>
            <w:vAlign w:val="bottom"/>
            <w:tcBorders>
              <w:top w:val="single" w:sz="8" w:color="0000EE"/>
              <w:bottom w:val="single" w:sz="8" w:color="CFF0FC"/>
            </w:tcBorders>
            <w:gridSpan w:val="3"/>
            <w:shd w:val="clear" w:color="auto" w:fill="CFF0FC"/>
          </w:tcPr>
          <w:p>
            <w:pPr>
              <w:spacing w:after="0"/>
              <w:rPr>
                <w:sz w:val="16"/>
                <w:szCs w:val="16"/>
                <w:color w:val="auto"/>
              </w:rPr>
            </w:pPr>
          </w:p>
        </w:tc>
        <w:tc>
          <w:tcPr>
            <w:tcW w:w="30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6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6"/>
                <w:szCs w:val="16"/>
                <w:color w:val="auto"/>
              </w:rPr>
            </w:pPr>
          </w:p>
        </w:tc>
        <w:tc>
          <w:tcPr>
            <w:tcW w:w="10060" w:type="dxa"/>
            <w:vAlign w:val="bottom"/>
            <w:gridSpan w:val="18"/>
          </w:tcPr>
          <w:p>
            <w:pPr>
              <w:spacing w:after="0" w:line="189" w:lineRule="exact"/>
              <w:rPr>
                <w:rFonts w:ascii="Arial" w:cs="Arial" w:eastAsia="Arial" w:hAnsi="Arial"/>
                <w:sz w:val="18"/>
                <w:szCs w:val="18"/>
                <w:color w:val="0000EE"/>
              </w:rPr>
            </w:pPr>
            <w:hyperlink r:id="rId88">
              <w:r>
                <w:rPr>
                  <w:rFonts w:ascii="Arial" w:cs="Arial" w:eastAsia="Arial" w:hAnsi="Arial"/>
                  <w:sz w:val="18"/>
                  <w:szCs w:val="18"/>
                  <w:color w:val="0000EE"/>
                </w:rPr>
                <w:t>Certificate of Formation of Summit Midstream GP, LLC (Incorporated herein by reference to Exhibit 3.4 to SMLP's Form S-1</w:t>
              </w:r>
            </w:hyperlink>
          </w:p>
        </w:tc>
      </w:tr>
      <w:tr>
        <w:trPr>
          <w:trHeight w:val="190"/>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Registration Statement dated August 21, 2012 (Commission File No. 333-183466))</w:t>
              </w:r>
            </w:hyperlink>
          </w:p>
        </w:tc>
        <w:tc>
          <w:tcPr>
            <w:tcW w:w="3220" w:type="dxa"/>
            <w:vAlign w:val="bottom"/>
            <w:tcBorders>
              <w:top w:val="single" w:sz="8" w:color="0000EE"/>
            </w:tcBorders>
            <w:gridSpan w:val="1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1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10.1</w:t>
            </w:r>
          </w:p>
        </w:tc>
        <w:tc>
          <w:tcPr>
            <w:tcW w:w="10300" w:type="dxa"/>
            <w:vAlign w:val="bottom"/>
            <w:gridSpan w:val="19"/>
            <w:shd w:val="clear" w:color="auto" w:fill="CFF0FC"/>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89">
              <w:r>
                <w:rPr>
                  <w:rFonts w:ascii="Arial" w:cs="Arial" w:eastAsia="Arial" w:hAnsi="Arial"/>
                  <w:sz w:val="18"/>
                  <w:szCs w:val="18"/>
                  <w:color w:val="0000EE"/>
                </w:rPr>
                <w:t>Employment Agreement effective September 16, 2019, by and between Summit Midstream Partners, LLC and Heath Deneke</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960" w:type="dxa"/>
            <w:vAlign w:val="bottom"/>
            <w:tcBorders>
              <w:top w:val="single" w:sz="8" w:color="0000EE"/>
            </w:tcBorders>
            <w:gridSpan w:val="17"/>
            <w:shd w:val="clear" w:color="auto" w:fill="CFF0FC"/>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(Incorporated herein by reference to Exhibit 10.1 to SMLP’s Current Report on Form 8-K dated August 9, 2019 (Commission</w:t>
              </w:r>
            </w:hyperlink>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880" w:type="dxa"/>
            <w:vAlign w:val="bottom"/>
            <w:tcBorders>
              <w:top w:val="single" w:sz="8" w:color="0000EE"/>
            </w:tcBorders>
            <w:gridSpan w:val="16"/>
            <w:shd w:val="clear" w:color="auto" w:fill="CFF0FC"/>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File Number 001-35666))</w:t>
              </w:r>
            </w:hyperlink>
          </w:p>
        </w:tc>
        <w:tc>
          <w:tcPr>
            <w:tcW w:w="180" w:type="dxa"/>
            <w:vAlign w:val="bottom"/>
            <w:tcBorders>
              <w:top w:val="single" w:sz="8" w:color="CFF0FC"/>
            </w:tcBorders>
            <w:gridSpan w:val="2"/>
            <w:shd w:val="clear" w:color="auto" w:fill="CFF0FC"/>
          </w:tcPr>
          <w:p>
            <w:pPr>
              <w:spacing w:after="0"/>
              <w:rPr>
                <w:sz w:val="15"/>
                <w:szCs w:val="15"/>
                <w:color w:val="auto"/>
              </w:rPr>
            </w:pPr>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44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96"/>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9120" w:type="dxa"/>
            <w:vAlign w:val="bottom"/>
            <w:tcBorders>
              <w:bottom w:val="single" w:sz="8" w:color="0000EE"/>
            </w:tcBorders>
            <w:gridSpan w:val="7"/>
          </w:tcPr>
          <w:p>
            <w:pPr>
              <w:spacing w:after="0" w:line="189"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Rule 13a-14(a)/15d-14(a) Certification, executed by Heath Deneke, President, Chief Executive Officer and Director</w:t>
              </w:r>
            </w:hyperlink>
          </w:p>
        </w:tc>
        <w:tc>
          <w:tcPr>
            <w:tcW w:w="940" w:type="dxa"/>
            <w:vAlign w:val="bottom"/>
            <w:gridSpan w:val="11"/>
          </w:tcPr>
          <w:p>
            <w:pPr>
              <w:spacing w:after="0"/>
              <w:rPr>
                <w:sz w:val="17"/>
                <w:szCs w:val="17"/>
                <w:color w:val="auto"/>
              </w:rPr>
            </w:pPr>
          </w:p>
        </w:tc>
      </w:tr>
      <w:tr>
        <w:trPr>
          <w:trHeight w:val="196"/>
        </w:trPr>
        <w:tc>
          <w:tcPr>
            <w:tcW w:w="11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rPr>
              <w:t>31.2</w:t>
            </w:r>
          </w:p>
        </w:tc>
        <w:tc>
          <w:tcPr>
            <w:tcW w:w="240" w:type="dxa"/>
            <w:vAlign w:val="bottom"/>
            <w:tcBorders>
              <w:bottom w:val="single" w:sz="8" w:color="CFF0FC"/>
            </w:tcBorders>
            <w:shd w:val="clear" w:color="auto" w:fill="CFF0FC"/>
          </w:tcPr>
          <w:p>
            <w:pPr>
              <w:spacing w:after="0"/>
              <w:rPr>
                <w:sz w:val="17"/>
                <w:szCs w:val="17"/>
                <w:color w:val="auto"/>
              </w:rPr>
            </w:pPr>
          </w:p>
        </w:tc>
        <w:tc>
          <w:tcPr>
            <w:tcW w:w="9720" w:type="dxa"/>
            <w:vAlign w:val="bottom"/>
            <w:tcBorders>
              <w:bottom w:val="single" w:sz="8" w:color="0000EE"/>
            </w:tcBorders>
            <w:gridSpan w:val="11"/>
            <w:shd w:val="clear" w:color="auto" w:fill="CFF0FC"/>
          </w:tcPr>
          <w:p>
            <w:pPr>
              <w:spacing w:after="0" w:line="189"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Rule 13a-14(a)/15d-14(a) Certification, executed by Marc D. Stratton, Executive Vice President and Chief Financial Officer</w:t>
              </w:r>
            </w:hyperlink>
          </w:p>
        </w:tc>
        <w:tc>
          <w:tcPr>
            <w:tcW w:w="340" w:type="dxa"/>
            <w:vAlign w:val="bottom"/>
            <w:tcBorders>
              <w:bottom w:val="single" w:sz="8" w:color="CFF0FC"/>
            </w:tcBorders>
            <w:gridSpan w:val="7"/>
            <w:shd w:val="clear" w:color="auto" w:fill="CFF0FC"/>
          </w:tcPr>
          <w:p>
            <w:pPr>
              <w:spacing w:after="0"/>
              <w:rPr>
                <w:sz w:val="17"/>
                <w:szCs w:val="17"/>
                <w:color w:val="auto"/>
              </w:rPr>
            </w:pPr>
          </w:p>
        </w:tc>
      </w:tr>
      <w:tr>
        <w:trPr>
          <w:trHeight w:val="189"/>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6"/>
                <w:szCs w:val="16"/>
                <w:color w:val="auto"/>
              </w:rPr>
            </w:pPr>
          </w:p>
        </w:tc>
        <w:tc>
          <w:tcPr>
            <w:tcW w:w="10060" w:type="dxa"/>
            <w:vAlign w:val="bottom"/>
            <w:gridSpan w:val="18"/>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Certifications required by Rule 13a-14(b) or Rule 15d-14(b) and Section 1350 of Chapter 63 of Title 18 of the United States</w:t>
              </w:r>
            </w:hyperlink>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Code (18 U.S.C. 1350), executed by Heath Deneke, President, Chief Executive Officer and Director, and Marc D. Stratton,</w:t>
              </w:r>
            </w:hyperlink>
          </w:p>
        </w:tc>
        <w:tc>
          <w:tcPr>
            <w:tcW w:w="280" w:type="dxa"/>
            <w:vAlign w:val="bottom"/>
            <w:gridSpan w:val="4"/>
          </w:tcPr>
          <w:p>
            <w:pPr>
              <w:spacing w:after="0"/>
              <w:rPr>
                <w:sz w:val="15"/>
                <w:szCs w:val="15"/>
                <w:color w:val="auto"/>
              </w:rPr>
            </w:pPr>
          </w:p>
        </w:tc>
      </w:tr>
      <w:tr>
        <w:trPr>
          <w:trHeight w:val="190"/>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Executive Vice President and Chief Financial Officer</w:t>
              </w:r>
            </w:hyperlink>
          </w:p>
        </w:tc>
        <w:tc>
          <w:tcPr>
            <w:tcW w:w="5560" w:type="dxa"/>
            <w:vAlign w:val="bottom"/>
            <w:tcBorders>
              <w:top w:val="single" w:sz="8" w:color="0000EE"/>
            </w:tcBorders>
            <w:gridSpan w:val="7"/>
          </w:tcPr>
          <w:p>
            <w:pPr>
              <w:spacing w:after="0"/>
              <w:rPr>
                <w:sz w:val="16"/>
                <w:szCs w:val="16"/>
                <w:color w:val="auto"/>
              </w:rPr>
            </w:pPr>
          </w:p>
        </w:tc>
        <w:tc>
          <w:tcPr>
            <w:tcW w:w="340" w:type="dxa"/>
            <w:vAlign w:val="bottom"/>
            <w:gridSpan w:val="7"/>
          </w:tcPr>
          <w:p>
            <w:pPr>
              <w:spacing w:after="0"/>
              <w:rPr>
                <w:sz w:val="16"/>
                <w:szCs w:val="16"/>
                <w:color w:val="auto"/>
              </w:rPr>
            </w:pPr>
          </w:p>
        </w:tc>
      </w:tr>
      <w:tr>
        <w:trPr>
          <w:trHeight w:val="193"/>
        </w:trPr>
        <w:tc>
          <w:tcPr>
            <w:tcW w:w="1120" w:type="dxa"/>
            <w:vAlign w:val="bottom"/>
            <w:shd w:val="clear" w:color="auto" w:fill="CFF0FC"/>
          </w:tcPr>
          <w:p>
            <w:pPr>
              <w:jc w:val="center"/>
              <w:spacing w:after="0" w:line="194" w:lineRule="exact"/>
              <w:rPr>
                <w:sz w:val="20"/>
                <w:szCs w:val="20"/>
                <w:color w:val="auto"/>
              </w:rPr>
            </w:pPr>
            <w:r>
              <w:rPr>
                <w:rFonts w:ascii="Arial" w:cs="Arial" w:eastAsia="Arial" w:hAnsi="Arial"/>
                <w:sz w:val="18"/>
                <w:szCs w:val="18"/>
                <w:color w:val="auto"/>
                <w:w w:val="98"/>
              </w:rPr>
              <w:t>101.INS</w:t>
            </w:r>
          </w:p>
        </w:tc>
        <w:tc>
          <w:tcPr>
            <w:tcW w:w="10300" w:type="dxa"/>
            <w:vAlign w:val="bottom"/>
            <w:gridSpan w:val="19"/>
            <w:shd w:val="clear" w:color="auto" w:fill="CFF0FC"/>
          </w:tcPr>
          <w:p>
            <w:pPr>
              <w:ind w:left="80"/>
              <w:spacing w:after="0" w:line="19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25"/>
        </w:trPr>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101.SCH</w:t>
            </w:r>
          </w:p>
        </w:tc>
        <w:tc>
          <w:tcPr>
            <w:tcW w:w="10300" w:type="dxa"/>
            <w:vAlign w:val="bottom"/>
            <w:gridSpan w:val="19"/>
          </w:tcPr>
          <w:p>
            <w:pPr>
              <w:ind w:left="8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101.CAL</w:t>
            </w:r>
          </w:p>
        </w:tc>
        <w:tc>
          <w:tcPr>
            <w:tcW w:w="10300" w:type="dxa"/>
            <w:vAlign w:val="bottom"/>
            <w:gridSpan w:val="19"/>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101.DEF</w:t>
            </w:r>
          </w:p>
        </w:tc>
        <w:tc>
          <w:tcPr>
            <w:tcW w:w="10300" w:type="dxa"/>
            <w:vAlign w:val="bottom"/>
            <w:gridSpan w:val="19"/>
          </w:tcPr>
          <w:p>
            <w:pPr>
              <w:ind w:left="8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101.LAB</w:t>
            </w:r>
          </w:p>
        </w:tc>
        <w:tc>
          <w:tcPr>
            <w:tcW w:w="10300" w:type="dxa"/>
            <w:vAlign w:val="bottom"/>
            <w:gridSpan w:val="19"/>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0300" w:type="dxa"/>
            <w:vAlign w:val="bottom"/>
            <w:gridSpan w:val="19"/>
          </w:tcPr>
          <w:p>
            <w:pPr>
              <w:ind w:left="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920" w:firstLine="412"/>
        <w:spacing w:after="0" w:line="347" w:lineRule="auto"/>
        <w:tabs>
          <w:tab w:leader="none" w:pos="1197"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sz w:val="20"/>
          <w:szCs w:val="20"/>
          <w:color w:val="auto"/>
        </w:rPr>
      </w:pPr>
    </w:p>
    <w:p>
      <w:pPr>
        <w:ind w:right="360" w:firstLine="8"/>
        <w:spacing w:after="0" w:line="276" w:lineRule="auto"/>
        <w:tabs>
          <w:tab w:leader="none" w:pos="1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that is being filed as an exhibit pursuant to Item 9.01(d) of SMLP’s Form 8-K filed August 9, 2019 (Commission File Nos. 001-35666)</w:t>
      </w:r>
    </w:p>
    <w:p>
      <w:pPr>
        <w:spacing w:after="0" w:line="37" w:lineRule="exact"/>
        <w:rPr>
          <w:sz w:val="20"/>
          <w:szCs w:val="20"/>
          <w:color w:val="auto"/>
        </w:rPr>
      </w:pPr>
    </w:p>
    <w:p>
      <w:pPr>
        <w:ind w:right="400" w:firstLine="8"/>
        <w:spacing w:after="0" w:line="248" w:lineRule="auto"/>
        <w:tabs>
          <w:tab w:leader="none" w:pos="1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1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62865</wp:posOffset>
            </wp:positionV>
            <wp:extent cx="4124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Summit Midstream GP, LLC (its General Partner)</w:t>
      </w:r>
    </w:p>
    <w:p>
      <w:pPr>
        <w:spacing w:after="0" w:line="212"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7"/>
          <w:szCs w:val="17"/>
          <w:i w:val="1"/>
          <w:iCs w:val="1"/>
          <w:color w:val="auto"/>
        </w:rPr>
        <w:t>/s/ Marc D. Stratton</w:t>
      </w:r>
    </w:p>
    <w:p>
      <w:pPr>
        <w:spacing w:after="0" w:line="90" w:lineRule="exact"/>
        <w:rPr>
          <w:sz w:val="20"/>
          <w:szCs w:val="20"/>
          <w:color w:val="auto"/>
        </w:rPr>
      </w:pPr>
    </w:p>
    <w:p>
      <w:pPr>
        <w:ind w:left="4960"/>
        <w:spacing w:after="0" w:line="27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-295910</wp:posOffset>
            </wp:positionV>
            <wp:extent cx="41249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33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1"/>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line="255"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200" w:right="460" w:firstLine="9"/>
        <w:spacing w:after="0" w:line="274"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firstLine="9"/>
        <w:spacing w:after="0" w:line="255"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ind w:left="500" w:right="140" w:firstLine="9"/>
        <w:spacing w:after="0" w:line="255"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500" w:right="180" w:firstLine="9"/>
        <w:spacing w:after="0" w:line="255"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jc w:val="both"/>
        <w:ind w:left="500" w:right="100" w:firstLine="9"/>
        <w:spacing w:after="0" w:line="255"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firstLine="9"/>
        <w:spacing w:after="0" w:line="255"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200" w:right="440" w:firstLine="9"/>
        <w:spacing w:after="0" w:line="255"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320" w:firstLine="9"/>
        <w:spacing w:after="0" w:line="274"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560" w:firstLine="9"/>
        <w:spacing w:after="0" w:line="276"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198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2019</w:t>
      </w:r>
      <w:r>
        <w:rPr>
          <w:sz w:val="20"/>
          <w:szCs w:val="20"/>
          <w:color w:val="auto"/>
        </w:rPr>
        <w:tab/>
      </w: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wp:posOffset>
            </wp:positionV>
            <wp:extent cx="6783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Heath Deneke</w:t>
      </w:r>
    </w:p>
    <w:p>
      <w:pPr>
        <w:ind w:left="6800"/>
        <w:spacing w:after="0"/>
        <w:rPr>
          <w:sz w:val="20"/>
          <w:szCs w:val="20"/>
          <w:color w:val="auto"/>
        </w:rPr>
      </w:pPr>
      <w:r>
        <w:rPr>
          <w:rFonts w:ascii="Arial" w:cs="Arial" w:eastAsia="Arial" w:hAnsi="Arial"/>
          <w:sz w:val="18"/>
          <w:szCs w:val="18"/>
          <w:color w:val="auto"/>
        </w:rPr>
        <w:t>President, Chief Executive Officer and Director of Summit</w:t>
      </w:r>
    </w:p>
    <w:p>
      <w:pPr>
        <w:ind w:left="6800"/>
        <w:spacing w:after="0" w:line="234"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420"/>
          </w:cols>
          <w:pgMar w:left="240" w:top="11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1"/>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line="255"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200" w:right="460" w:firstLine="9"/>
        <w:spacing w:after="0" w:line="274"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firstLine="9"/>
        <w:spacing w:after="0" w:line="255"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ind w:left="500" w:right="140" w:firstLine="9"/>
        <w:spacing w:after="0" w:line="255" w:lineRule="auto"/>
        <w:tabs>
          <w:tab w:leader="none" w:pos="7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500" w:right="180" w:firstLine="9"/>
        <w:spacing w:after="0" w:line="255" w:lineRule="auto"/>
        <w:tabs>
          <w:tab w:leader="none" w:pos="7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jc w:val="both"/>
        <w:ind w:left="500" w:right="100" w:firstLine="9"/>
        <w:spacing w:after="0" w:line="255"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firstLine="9"/>
        <w:spacing w:after="0" w:line="255" w:lineRule="auto"/>
        <w:tabs>
          <w:tab w:leader="none" w:pos="7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200" w:right="440" w:firstLine="9"/>
        <w:spacing w:after="0" w:line="255"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320" w:firstLine="9"/>
        <w:spacing w:after="0" w:line="274" w:lineRule="auto"/>
        <w:tabs>
          <w:tab w:leader="none" w:pos="7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560" w:firstLine="9"/>
        <w:spacing w:after="0" w:line="276" w:lineRule="auto"/>
        <w:tabs>
          <w:tab w:leader="none" w:pos="77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198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2019</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wp:posOffset>
            </wp:positionV>
            <wp:extent cx="67837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Marc D. Stratton</w:t>
      </w:r>
    </w:p>
    <w:p>
      <w:pPr>
        <w:ind w:left="6800"/>
        <w:spacing w:after="0"/>
        <w:rPr>
          <w:sz w:val="20"/>
          <w:szCs w:val="20"/>
          <w:color w:val="auto"/>
        </w:rPr>
      </w:pPr>
      <w:r>
        <w:rPr>
          <w:rFonts w:ascii="Arial" w:cs="Arial" w:eastAsia="Arial" w:hAnsi="Arial"/>
          <w:sz w:val="18"/>
          <w:szCs w:val="18"/>
          <w:color w:val="auto"/>
        </w:rPr>
        <w:t>Executive Vice President and Chief Financial Officer of</w:t>
      </w:r>
    </w:p>
    <w:p>
      <w:pPr>
        <w:ind w:left="6800"/>
        <w:spacing w:after="0" w:line="234"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420"/>
          </w:cols>
          <w:pgMar w:left="240" w:top="11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September 30, 2019,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96"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260" w:hanging="572"/>
        <w:spacing w:after="0" w:line="27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715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Heath Deneke</w:t>
      </w:r>
    </w:p>
    <w:p>
      <w:pPr>
        <w:spacing w:after="0" w:line="14" w:lineRule="exact"/>
        <w:rPr>
          <w:sz w:val="20"/>
          <w:szCs w:val="20"/>
          <w:color w:val="auto"/>
        </w:rPr>
      </w:pPr>
    </w:p>
    <w:p>
      <w:pPr>
        <w:ind w:left="740" w:right="4500" w:hanging="739"/>
        <w:spacing w:after="0" w:line="281" w:lineRule="auto"/>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2019</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71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Marc D. Stratton</w:t>
      </w:r>
    </w:p>
    <w:p>
      <w:pPr>
        <w:spacing w:after="0" w:line="14" w:lineRule="exact"/>
        <w:rPr>
          <w:sz w:val="20"/>
          <w:szCs w:val="20"/>
          <w:color w:val="auto"/>
        </w:rPr>
      </w:pPr>
    </w:p>
    <w:p>
      <w:pPr>
        <w:ind w:left="740" w:right="4060" w:hanging="739"/>
        <w:spacing w:after="0" w:line="281" w:lineRule="auto"/>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2"/>
    </w:lvl>
    <w:lvl w:ilvl="1">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8"/>
    </w:lvl>
  </w:abstractNum>
  <w:abstractNum w:abstractNumId="14">
    <w:nsid w:val="51EAD36B"/>
    <w:multiLevelType w:val="hybridMultilevel"/>
    <w:lvl w:ilvl="0">
      <w:lvlJc w:val="left"/>
      <w:lvlText w:val="%1."/>
      <w:numFmt w:val="decimal"/>
      <w:start w:val="14"/>
    </w:lvl>
    <w:lvl w:ilvl="1">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lvl w:ilvl="1">
      <w:lvlJc w:val="left"/>
      <w:lvlText w:val="%2"/>
      <w:numFmt w:val="decimal"/>
      <w:start w:val="104"/>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85" Type="http://schemas.openxmlformats.org/officeDocument/2006/relationships/hyperlink" Target="http://www.sec.gov/Archives/edgar/data/1549922/000156459019009022/smlp-ex31_11.htm" TargetMode="External"/><Relationship Id="rId86" Type="http://schemas.openxmlformats.org/officeDocument/2006/relationships/hyperlink" Target="http://www.sec.gov/Archives/edgar/data/1549922/000110465912067606/a12-22459_2ex3d2.htm" TargetMode="External"/><Relationship Id="rId87" Type="http://schemas.openxmlformats.org/officeDocument/2006/relationships/hyperlink" Target="http://www.sec.gov/Archives/edgar/data/1549922/000104746912008450/a2209444zex-3_1.htm" TargetMode="External"/><Relationship Id="rId88" Type="http://schemas.openxmlformats.org/officeDocument/2006/relationships/hyperlink" Target="http://www.sec.gov/Archives/edgar/data/1549922/000104746912008450/a2209444zex-3_4.htm" TargetMode="External"/><Relationship Id="rId89" Type="http://schemas.openxmlformats.org/officeDocument/2006/relationships/hyperlink" Target="http://www.sec.gov/Archives/edgar/data/1549922/000156459019031294/smlp-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2019-12-28T01:58:05Z</dcterms:created>
  <dcterms:modified xsi:type="dcterms:W3CDTF">2019-12-28T01:58:05Z</dcterms:modified>
</cp:coreProperties>
</file>