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-609600</wp:posOffset>
            </wp:positionV>
            <wp:extent cx="57150" cy="622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19685</wp:posOffset>
            </wp:positionV>
            <wp:extent cx="6997065" cy="4614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461454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180" w:space="440"/>
            <w:col w:w="846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Deneke J Heath</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3" w:lineRule="auto"/>
        <w:rPr>
          <w:sz w:val="20"/>
          <w:szCs w:val="20"/>
          <w:color w:val="auto"/>
        </w:rPr>
      </w:pPr>
      <w:r>
        <w:rPr>
          <w:rFonts w:ascii="Times New Roman" w:cs="Times New Roman" w:eastAsia="Times New Roman" w:hAnsi="Times New Roman"/>
          <w:sz w:val="16"/>
          <w:szCs w:val="16"/>
          <w:color w:val="0000FF"/>
        </w:rPr>
        <w:t>C/O SUMMIT MIDSTREAM PARTNERS, LP 910 LOUISIANA STREET, SUITE 4200</w:t>
      </w:r>
    </w:p>
    <w:p>
      <w:pPr>
        <w:spacing w:after="0" w:line="15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HOUSTON</w:t>
      </w:r>
      <w:r>
        <w:rPr>
          <w:sz w:val="20"/>
          <w:szCs w:val="20"/>
          <w:color w:val="auto"/>
        </w:rPr>
        <w:tab/>
      </w:r>
      <w:r>
        <w:rPr>
          <w:rFonts w:ascii="Times New Roman" w:cs="Times New Roman" w:eastAsia="Times New Roman" w:hAnsi="Times New Roman"/>
          <w:sz w:val="16"/>
          <w:szCs w:val="16"/>
          <w:color w:val="0000FF"/>
        </w:rPr>
        <w:t>TX</w:t>
      </w:r>
      <w:r>
        <w:rPr>
          <w:sz w:val="20"/>
          <w:szCs w:val="20"/>
          <w:color w:val="auto"/>
        </w:rPr>
        <w:tab/>
      </w:r>
      <w:r>
        <w:rPr>
          <w:rFonts w:ascii="Times New Roman" w:cs="Times New Roman" w:eastAsia="Times New Roman" w:hAnsi="Times New Roman"/>
          <w:sz w:val="16"/>
          <w:szCs w:val="16"/>
          <w:color w:val="0000FF"/>
        </w:rPr>
        <w:t>77002</w:t>
      </w:r>
    </w:p>
    <w:p>
      <w:pPr>
        <w:spacing w:after="0" w:line="31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760" w:type="dxa"/>
            <w:vAlign w:val="bottom"/>
            <w:gridSpan w:val="3"/>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Summit Midstream Partners, LP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SMLP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480" w:type="dxa"/>
            <w:vAlign w:val="bottom"/>
            <w:tcBorders>
              <w:top w:val="single" w:sz="8" w:color="0000EE"/>
            </w:tcBorders>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08/01/2024</w:t>
            </w:r>
          </w:p>
        </w:tc>
        <w:tc>
          <w:tcPr>
            <w:tcW w:w="1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66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0000FF"/>
              </w:rPr>
              <w:t>See remarks below.</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1" w:lineRule="exact"/>
        <w:rPr>
          <w:sz w:val="24"/>
          <w:szCs w:val="24"/>
          <w:color w:val="auto"/>
        </w:rPr>
      </w:pPr>
    </w:p>
    <w:p>
      <w:pPr>
        <w:ind w:left="320" w:right="48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220" w:space="6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900" w:type="dxa"/>
            <w:vAlign w:val="bottom"/>
            <w:gridSpan w:val="6"/>
          </w:tcPr>
          <w:p>
            <w:pPr>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line="126"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6"/>
          </w:tcPr>
          <w:p>
            <w:pPr>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line="126"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5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08/01/2024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288,006</w:t>
            </w:r>
            <w:r>
              <w:rPr>
                <w:rFonts w:ascii="Times New Roman" w:cs="Times New Roman" w:eastAsia="Times New Roman" w:hAnsi="Times New Roman"/>
                <w:sz w:val="20"/>
                <w:szCs w:val="20"/>
                <w:color w:val="008000"/>
                <w:vertAlign w:val="superscript"/>
              </w:rPr>
              <w:t>(2)</w:t>
            </w:r>
          </w:p>
        </w:tc>
        <w:tc>
          <w:tcPr>
            <w:tcW w:w="3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w w:val="86"/>
              </w:rPr>
              <w:t>D</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ind w:right="9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16"/>
                <w:szCs w:val="16"/>
                <w:color w:val="0000FF"/>
                <w:w w:val="99"/>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20" w:type="dxa"/>
            <w:vAlign w:val="bottom"/>
            <w:gridSpan w:val="13"/>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6"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20" w:type="dxa"/>
            <w:vAlign w:val="bottom"/>
            <w:gridSpan w:val="5"/>
          </w:tcPr>
          <w:p>
            <w:pPr>
              <w:ind w:left="40"/>
              <w:spacing w:after="0" w:line="126"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line="126"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420" w:type="dxa"/>
            <w:vAlign w:val="bottom"/>
            <w:gridSpan w:val="5"/>
          </w:tcPr>
          <w:p>
            <w:pPr>
              <w:ind w:left="40"/>
              <w:spacing w:after="0" w:line="126"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6"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08/01/2024</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line="239"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(1)(3)</w:t>
            </w:r>
          </w:p>
        </w:tc>
        <w:tc>
          <w:tcPr>
            <w:tcW w:w="9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327,759</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2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327,759</w:t>
            </w:r>
            <w:r>
              <w:rPr>
                <w:rFonts w:ascii="Times New Roman" w:cs="Times New Roman" w:eastAsia="Times New Roman" w:hAnsi="Times New Roman"/>
                <w:sz w:val="20"/>
                <w:szCs w:val="20"/>
                <w:color w:val="008000"/>
                <w:vertAlign w:val="superscript"/>
              </w:rPr>
              <w:t>(2)</w:t>
            </w:r>
          </w:p>
        </w:tc>
        <w:tc>
          <w:tcPr>
            <w:tcW w:w="6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gridSpan w:val="2"/>
          </w:tcPr>
          <w:p>
            <w:pPr>
              <w:ind w:left="14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-1550035</wp:posOffset>
            </wp:positionV>
            <wp:extent cx="28575" cy="1555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5551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20" w:hanging="2"/>
        <w:spacing w:after="0" w:line="262"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August 1, 2024 (the "Effective Time"), in connection with the corporate reorganization of Summit Midstream Partners, LP (the "Partnership"), the Partnership converted from a master limited partnership to a C corporation (the "Corporate Reorganization") through the merger between the Partnership and Summit SMC NewCo, LLC ("Merger Sub"), a wholly-owned subsidiary of Summit Midstream Corporation (the "Corporation"), wherein Merger Sub merged with and into the Partnership (the "Merger"), with the Partnership surviving the Merger as a wholly-owned subsidiary of the Corporation.</w:t>
      </w:r>
    </w:p>
    <w:p>
      <w:pPr>
        <w:spacing w:after="0" w:line="12" w:lineRule="exact"/>
        <w:rPr>
          <w:rFonts w:ascii="Times New Roman" w:cs="Times New Roman" w:eastAsia="Times New Roman" w:hAnsi="Times New Roman"/>
          <w:sz w:val="12"/>
          <w:szCs w:val="12"/>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the Effective Time, the Reporting Person holds an aggregate 0 phantom units. This total includes phantom units from other tranches with different vesting dates.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unit is the economic equivalent of one common unit.</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phantom units and associated distribution equivalent rights do not expire. The phantom units are settled upon vesting in common units (on a one-for-one basis) or in cash, at the discretion of the Partnership.</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4"/>
          <w:szCs w:val="24"/>
          <w:color w:val="auto"/>
        </w:rPr>
      </w:pPr>
    </w:p>
    <w:p>
      <w:pPr>
        <w:ind w:left="40" w:right="140"/>
        <w:spacing w:after="0" w:line="242" w:lineRule="auto"/>
        <w:rPr>
          <w:sz w:val="20"/>
          <w:szCs w:val="20"/>
          <w:color w:val="auto"/>
        </w:rPr>
      </w:pPr>
      <w:r>
        <w:rPr>
          <w:rFonts w:ascii="Times New Roman" w:cs="Times New Roman" w:eastAsia="Times New Roman" w:hAnsi="Times New Roman"/>
          <w:sz w:val="13"/>
          <w:szCs w:val="13"/>
          <w:color w:val="008000"/>
        </w:rPr>
        <w:t>The Reporting Person is President and Chief Executive Officer of Summit Midstream GP, LLC, the general partner of the Issuer (the "General Partner"). The Issuer is managed by the directors and executive officers of the General Partner.</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James D. Johnston, Attorney- </w:t>
      </w:r>
      <w:r>
        <w:rPr>
          <w:rFonts w:ascii="Times New Roman" w:cs="Times New Roman" w:eastAsia="Times New Roman" w:hAnsi="Times New Roman"/>
          <w:sz w:val="31"/>
          <w:szCs w:val="31"/>
          <w:color w:val="0000FF"/>
          <w:vertAlign w:val="subscript"/>
        </w:rPr>
        <w:t>08/02/2024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-25400</wp:posOffset>
            </wp:positionV>
            <wp:extent cx="1351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 for J. Heath Deneke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1474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744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1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55671" TargetMode="External"/><Relationship Id="rId13" Type="http://schemas.openxmlformats.org/officeDocument/2006/relationships/hyperlink" Target="http://www.sec.gov/cgi-bin/browse-edgar?action=getcompany&amp;CIK=0001549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2024-08-02T20:18:08Z</dcterms:created>
  <dcterms:modified xsi:type="dcterms:W3CDTF">2024-08-02T20:18:08Z</dcterms:modified>
</cp:coreProperties>
</file>