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333-265857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333-237323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333-189684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333-184214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333-265857</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333-237323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NO. 333-189684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 S-8</w:t>
      </w:r>
    </w:p>
    <w:p>
      <w:pPr>
        <w:jc w:val="center"/>
        <w:ind w:right="40"/>
        <w:spacing w:after="0" w:line="236" w:lineRule="auto"/>
        <w:rPr>
          <w:sz w:val="20"/>
          <w:szCs w:val="20"/>
          <w:color w:val="auto"/>
        </w:rPr>
      </w:pPr>
      <w:r>
        <w:rPr>
          <w:rFonts w:ascii="Times New Roman" w:cs="Times New Roman" w:eastAsia="Times New Roman" w:hAnsi="Times New Roman"/>
          <w:sz w:val="22"/>
          <w:szCs w:val="22"/>
          <w:b w:val="1"/>
          <w:bCs w:val="1"/>
          <w:color w:val="auto"/>
        </w:rPr>
        <w:t>REGISTRATION STATEMENT NO. 333-184214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SUMMIT MIDSTREAM PARTNERS, 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45-5200503</w:t>
            </w:r>
          </w:p>
        </w:tc>
      </w:tr>
      <w:tr>
        <w:trPr>
          <w:trHeight w:val="21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bl>
    <w:p>
      <w:pPr>
        <w:ind w:left="766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46214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Summit Midstream Partners, LP 2022 Long-Term Incentive Plan Summit Midstream Partners, LP 2012 Long-Term Incentive Plan SUMMIT MIDSTREAM PARTNERS, LLC DEFERRED COMPENSATION PLAN </w:t>
      </w: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D. Johnston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(832) 413-4770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Julian J. Seiguer, P.C.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Anthony L. Sanderson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Main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(713) 836-3600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Summit Midstream Partners, LP, a Delaware limited partnership (the “Partnership”)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20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333-265857</w:t>
        </w:r>
      </w:hyperlink>
      <w:r>
        <w:rPr>
          <w:rFonts w:ascii="Times New Roman" w:cs="Times New Roman" w:eastAsia="Times New Roman" w:hAnsi="Times New Roman"/>
          <w:sz w:val="18"/>
          <w:szCs w:val="18"/>
          <w:color w:val="auto"/>
        </w:rPr>
        <w:t>, filed with the SEC on June 27, 2022, registering the issuance of 1,000,000 Partnership’s common units representing limited partner interests (“Common Units”) under the Summit Midstream Partners, LP 2022 Long-Term Incentive Plan (as amended from time to time, the “2022 LTIP”) (the “2022 LTIP Units”);</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333-237323</w:t>
        </w:r>
      </w:hyperlink>
      <w:r>
        <w:rPr>
          <w:rFonts w:ascii="Times New Roman" w:cs="Times New Roman" w:eastAsia="Times New Roman" w:hAnsi="Times New Roman"/>
          <w:sz w:val="18"/>
          <w:szCs w:val="18"/>
          <w:color w:val="auto"/>
        </w:rPr>
        <w:t>, filed with the SEC on March 20, 2020, registering the issuance of 10,000,000 Common Units under the Summit Midstream Partners, LP 2012 Long-Term Incentive Plan (as amended from time to time, the “2012 LTIP,” and such Common Units, the “2012 LTIP Additional Units”);</w:t>
      </w:r>
    </w:p>
    <w:p>
      <w:pPr>
        <w:spacing w:after="0" w:line="175" w:lineRule="exact"/>
        <w:rPr>
          <w:rFonts w:ascii="Times New Roman" w:cs="Times New Roman" w:eastAsia="Times New Roman" w:hAnsi="Times New Roman"/>
          <w:sz w:val="18"/>
          <w:szCs w:val="18"/>
          <w:color w:val="auto"/>
        </w:rPr>
      </w:pPr>
    </w:p>
    <w:p>
      <w:pPr>
        <w:ind w:left="980" w:right="100" w:hanging="324"/>
        <w:spacing w:after="0" w:line="312" w:lineRule="auto"/>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No. </w:t>
      </w:r>
      <w:hyperlink r:id="rId22">
        <w:r>
          <w:rPr>
            <w:rFonts w:ascii="Times New Roman" w:cs="Times New Roman" w:eastAsia="Times New Roman" w:hAnsi="Times New Roman"/>
            <w:sz w:val="17"/>
            <w:szCs w:val="17"/>
            <w:u w:val="single" w:color="auto"/>
            <w:color w:val="0000EE"/>
          </w:rPr>
          <w:t>333-189684</w:t>
        </w:r>
      </w:hyperlink>
      <w:r>
        <w:rPr>
          <w:rFonts w:ascii="Times New Roman" w:cs="Times New Roman" w:eastAsia="Times New Roman" w:hAnsi="Times New Roman"/>
          <w:sz w:val="17"/>
          <w:szCs w:val="17"/>
          <w:color w:val="auto"/>
        </w:rPr>
        <w:t>, filed with the SEC on June 28, 2013, registering $50,000,000 of deferred compensation obligations that may become payable under the Summit Midstream Partners, LLC Deferred Compensation Plan (the “Deferred Compensation”); and</w:t>
      </w:r>
    </w:p>
    <w:p>
      <w:pPr>
        <w:spacing w:after="0" w:line="139" w:lineRule="exact"/>
        <w:rPr>
          <w:rFonts w:ascii="Times New Roman" w:cs="Times New Roman" w:eastAsia="Times New Roman" w:hAnsi="Times New Roman"/>
          <w:sz w:val="17"/>
          <w:szCs w:val="17"/>
          <w:color w:val="auto"/>
        </w:rPr>
      </w:pPr>
    </w:p>
    <w:p>
      <w:pPr>
        <w:ind w:left="980" w:right="14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333-184214</w:t>
        </w:r>
      </w:hyperlink>
      <w:r>
        <w:rPr>
          <w:rFonts w:ascii="Times New Roman" w:cs="Times New Roman" w:eastAsia="Times New Roman" w:hAnsi="Times New Roman"/>
          <w:sz w:val="18"/>
          <w:szCs w:val="18"/>
          <w:color w:val="auto"/>
        </w:rPr>
        <w:t>, filed with the SEC on October 1, 2012, registering the issuance of 5,000,000 Common Units under the 2012 LTIP (together with the 2022 LTIP Units and the 2012 LTIP Additional Units, the “Plan Units”).</w:t>
      </w:r>
    </w:p>
    <w:p>
      <w:pPr>
        <w:spacing w:after="0" w:line="162" w:lineRule="exact"/>
        <w:rPr>
          <w:rFonts w:ascii="Times New Roman" w:cs="Times New Roman" w:eastAsia="Times New Roman" w:hAnsi="Times New Roman"/>
          <w:sz w:val="17"/>
          <w:szCs w:val="17"/>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1, 2024, Summit Midstream Corporation, a Delaware corporation (the “Corporation”), completed the transactions contemplated by the Agreement and Plan of Merger (the “Merger Agreement”), by and among the Partnership, the Corporation, Summit SMC NewCo, LLC (“Merger Sub”), a wholly-owned subsidiary of the Corporation, and Summit Midstream GP, LLC, the general partner of the Partnership (the “General Partner”), pursuant to which Merger Sub merged with and into the Partnership, with the Partnership continuing as the surviving entity and a wholly-owned subsidiary of the Company (the “Corporate Reorganization”). In connection with the Corporate Reorganization, each outstanding phantom unit award granted under the 2012 LTIP or the 2022 LTIP (the “Partnership Phantom Unit Awards”), was converted into an award of restricted stock units relating to a number of shares of common stock of the Corporation equal to the number of Common Units subject to such Partnership Phantom Unit Award as of immediately prior to the effective time of the Corporate Reorganization.</w:t>
      </w:r>
    </w:p>
    <w:p>
      <w:pPr>
        <w:spacing w:after="0" w:line="192" w:lineRule="exact"/>
        <w:rPr>
          <w:rFonts w:ascii="Times New Roman" w:cs="Times New Roman" w:eastAsia="Times New Roman" w:hAnsi="Times New Roman"/>
          <w:sz w:val="17"/>
          <w:szCs w:val="17"/>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completion of the Corporate Reorganization, this Amendment is being filed by the Partnership to withdraw and remove from registration all of the Plan Units and Deferred Compensation that remain unsold under the Registration Statements. In accordance with an undertaking made by the Partnership in the Registration Statements to remove from registration, by means of a post-effective amendment, any of the Plan Units or Deferred Compensation registered under the Registration Statements that remain unsold at the termination of the offering, the Partnership hereby removes from registration any and all of the Plan Units or Deferred Compensation registered but unsold under the Registration Statements as of the date hereof. The Registration Statements are hereby amended, as appropriate, to reflect the deregistration of such securities.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Partnership certifies that it has reasonable grounds to believe that it meets all of the requirements for filing on Form S-8 and has duly caused this Amendment to each of the Registration Statements to be signed on its behalf by the undersigned, thereunto duly authorized, in the City of Houston, State of Texas, on August 9,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SUMMIT MIDSTREAM PARTNERS, LP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Summit Midstream GP, LLC, its general partner</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James D. Johnston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Compliance Officer and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0" Type="http://schemas.openxmlformats.org/officeDocument/2006/relationships/hyperlink" Target="http://www.sec.gov/Archives/edgar/data/1549922/000119312522182846/d225073ds8.htm" TargetMode="External"/><Relationship Id="rId21" Type="http://schemas.openxmlformats.org/officeDocument/2006/relationships/hyperlink" Target="http://www.sec.gov/Archives/edgar/data/1549922/000119312520080745/d146684ds8.htm" TargetMode="External"/><Relationship Id="rId22" Type="http://schemas.openxmlformats.org/officeDocument/2006/relationships/hyperlink" Target="http://www.sec.gov/Archives/edgar/data/1549922/000154992213000021/forms-8dcplan.htm" TargetMode="External"/><Relationship Id="rId23" Type="http://schemas.openxmlformats.org/officeDocument/2006/relationships/hyperlink" Target="http://www.sec.gov/Archives/edgar/data/1549922/000110465912066693/a12-20771_1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2024-08-09T15:21:25Z</dcterms:created>
  <dcterms:modified xsi:type="dcterms:W3CDTF">2024-08-09T15:21:25Z</dcterms:modified>
</cp:coreProperties>
</file>