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7"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-243840</wp:posOffset>
            </wp:positionV>
            <wp:extent cx="78105" cy="79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-92075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480" w:type="dxa"/>
            <w:vAlign w:val="bottom"/>
            <w:gridSpan w:val="2"/>
          </w:tcPr>
          <w:p>
            <w:pPr>
              <w:ind w:left="460"/>
              <w:spacing w:after="0"/>
              <w:rPr>
                <w:sz w:val="20"/>
                <w:szCs w:val="20"/>
                <w:color w:val="auto"/>
              </w:rPr>
            </w:pPr>
            <w:r>
              <w:rPr>
                <w:rFonts w:ascii="Arial" w:cs="Arial" w:eastAsia="Arial" w:hAnsi="Arial"/>
                <w:sz w:val="14"/>
                <w:szCs w:val="14"/>
                <w:b w:val="1"/>
                <w:bCs w:val="1"/>
                <w:color w:val="auto"/>
              </w:rPr>
              <w:t>For the transition period from</w:t>
            </w:r>
          </w:p>
        </w:tc>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w:t>
            </w:r>
          </w:p>
        </w:tc>
        <w:tc>
          <w:tcPr>
            <w:tcW w:w="4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20" w:type="dxa"/>
            <w:vAlign w:val="bottom"/>
            <w:gridSpan w:val="3"/>
          </w:tcPr>
          <w:p>
            <w:pPr>
              <w:jc w:val="center"/>
              <w:ind w:right="1419"/>
              <w:spacing w:after="0"/>
              <w:rPr>
                <w:sz w:val="20"/>
                <w:szCs w:val="20"/>
                <w:color w:val="auto"/>
              </w:rPr>
            </w:pPr>
            <w:r>
              <w:rPr>
                <w:rFonts w:ascii="Arial" w:cs="Arial" w:eastAsia="Arial" w:hAnsi="Arial"/>
                <w:sz w:val="14"/>
                <w:szCs w:val="14"/>
                <w:b w:val="1"/>
                <w:bCs w:val="1"/>
                <w:color w:val="auto"/>
                <w:w w:val="92"/>
              </w:rPr>
              <w:t>Commission file number: 001-35666</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82"/>
        </w:trPr>
        <w:tc>
          <w:tcPr>
            <w:tcW w:w="8240" w:type="dxa"/>
            <w:vAlign w:val="bottom"/>
            <w:gridSpan w:val="5"/>
          </w:tcPr>
          <w:p>
            <w:pPr>
              <w:jc w:val="center"/>
              <w:ind w:left="2934"/>
              <w:spacing w:after="0"/>
              <w:rPr>
                <w:sz w:val="20"/>
                <w:szCs w:val="20"/>
                <w:color w:val="auto"/>
              </w:rPr>
            </w:pPr>
            <w:r>
              <w:rPr>
                <w:rFonts w:ascii="Arial" w:cs="Arial" w:eastAsia="Arial" w:hAnsi="Arial"/>
                <w:sz w:val="29"/>
                <w:szCs w:val="29"/>
                <w:b w:val="1"/>
                <w:bCs w:val="1"/>
                <w:color w:val="auto"/>
                <w:w w:val="92"/>
              </w:rPr>
              <w:t>Summit Midstream Partners, LP</w:t>
            </w: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00"/>
        </w:trPr>
        <w:tc>
          <w:tcPr>
            <w:tcW w:w="3880" w:type="dxa"/>
            <w:vAlign w:val="bottom"/>
          </w:tcPr>
          <w:p>
            <w:pPr>
              <w:spacing w:after="0"/>
              <w:rPr>
                <w:sz w:val="24"/>
                <w:szCs w:val="24"/>
                <w:color w:val="auto"/>
              </w:rPr>
            </w:pPr>
          </w:p>
        </w:tc>
        <w:tc>
          <w:tcPr>
            <w:tcW w:w="4360" w:type="dxa"/>
            <w:vAlign w:val="bottom"/>
            <w:gridSpan w:val="4"/>
          </w:tcPr>
          <w:p>
            <w:pPr>
              <w:jc w:val="center"/>
              <w:ind w:right="779"/>
              <w:spacing w:after="0"/>
              <w:rPr>
                <w:sz w:val="20"/>
                <w:szCs w:val="20"/>
                <w:color w:val="auto"/>
              </w:rPr>
            </w:pPr>
            <w:r>
              <w:rPr>
                <w:rFonts w:ascii="Arial" w:cs="Arial" w:eastAsia="Arial" w:hAnsi="Arial"/>
                <w:sz w:val="16"/>
                <w:szCs w:val="16"/>
                <w:color w:val="auto"/>
                <w:w w:val="91"/>
              </w:rPr>
              <w:t>(Exact name of registrant as specified in its charter)</w:t>
            </w: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07"/>
        </w:trPr>
        <w:tc>
          <w:tcPr>
            <w:tcW w:w="3880" w:type="dxa"/>
            <w:vAlign w:val="bottom"/>
          </w:tcPr>
          <w:p>
            <w:pPr>
              <w:jc w:val="center"/>
              <w:ind w:left="1554"/>
              <w:spacing w:after="0"/>
              <w:rPr>
                <w:sz w:val="20"/>
                <w:szCs w:val="20"/>
                <w:color w:val="auto"/>
              </w:rPr>
            </w:pPr>
            <w:r>
              <w:rPr>
                <w:rFonts w:ascii="Arial" w:cs="Arial" w:eastAsia="Arial" w:hAnsi="Arial"/>
                <w:sz w:val="16"/>
                <w:szCs w:val="16"/>
                <w:b w:val="1"/>
                <w:bCs w:val="1"/>
                <w:color w:val="auto"/>
                <w:w w:val="91"/>
              </w:rPr>
              <w:t>Delaware</w:t>
            </w: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80" w:type="dxa"/>
            <w:vAlign w:val="bottom"/>
            <w:gridSpan w:val="4"/>
          </w:tcPr>
          <w:p>
            <w:pPr>
              <w:jc w:val="right"/>
              <w:ind w:right="2279"/>
              <w:spacing w:after="0"/>
              <w:rPr>
                <w:sz w:val="20"/>
                <w:szCs w:val="20"/>
                <w:color w:val="auto"/>
              </w:rPr>
            </w:pPr>
            <w:r>
              <w:rPr>
                <w:rFonts w:ascii="Arial" w:cs="Arial" w:eastAsia="Arial" w:hAnsi="Arial"/>
                <w:sz w:val="16"/>
                <w:szCs w:val="16"/>
                <w:b w:val="1"/>
                <w:bCs w:val="1"/>
                <w:color w:val="auto"/>
              </w:rPr>
              <w:t>45-5200503</w:t>
            </w:r>
          </w:p>
        </w:tc>
      </w:tr>
      <w:tr>
        <w:trPr>
          <w:trHeight w:val="203"/>
        </w:trPr>
        <w:tc>
          <w:tcPr>
            <w:tcW w:w="3880" w:type="dxa"/>
            <w:vAlign w:val="bottom"/>
          </w:tcPr>
          <w:p>
            <w:pPr>
              <w:jc w:val="center"/>
              <w:ind w:left="1554"/>
              <w:spacing w:after="0"/>
              <w:rPr>
                <w:sz w:val="20"/>
                <w:szCs w:val="20"/>
                <w:color w:val="auto"/>
              </w:rPr>
            </w:pPr>
            <w:r>
              <w:rPr>
                <w:rFonts w:ascii="Arial" w:cs="Arial" w:eastAsia="Arial" w:hAnsi="Arial"/>
                <w:sz w:val="16"/>
                <w:szCs w:val="16"/>
                <w:color w:val="auto"/>
                <w:w w:val="93"/>
              </w:rPr>
              <w:t>(State or other jurisdiction of</w:t>
            </w:r>
          </w:p>
        </w:tc>
        <w:tc>
          <w:tcPr>
            <w:tcW w:w="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80" w:type="dxa"/>
            <w:vAlign w:val="bottom"/>
            <w:gridSpan w:val="3"/>
          </w:tcPr>
          <w:p>
            <w:pPr>
              <w:jc w:val="center"/>
              <w:ind w:right="939"/>
              <w:spacing w:after="0"/>
              <w:rPr>
                <w:sz w:val="20"/>
                <w:szCs w:val="20"/>
                <w:color w:val="auto"/>
              </w:rPr>
            </w:pPr>
            <w:r>
              <w:rPr>
                <w:rFonts w:ascii="Arial" w:cs="Arial" w:eastAsia="Arial" w:hAnsi="Arial"/>
                <w:sz w:val="16"/>
                <w:szCs w:val="16"/>
                <w:color w:val="auto"/>
                <w:w w:val="93"/>
              </w:rPr>
              <w:t>(I.R.S. Employer</w:t>
            </w:r>
          </w:p>
        </w:tc>
      </w:tr>
      <w:tr>
        <w:trPr>
          <w:trHeight w:val="206"/>
        </w:trPr>
        <w:tc>
          <w:tcPr>
            <w:tcW w:w="3880" w:type="dxa"/>
            <w:vAlign w:val="bottom"/>
          </w:tcPr>
          <w:p>
            <w:pPr>
              <w:jc w:val="center"/>
              <w:ind w:left="1554"/>
              <w:spacing w:after="0"/>
              <w:rPr>
                <w:sz w:val="20"/>
                <w:szCs w:val="20"/>
                <w:color w:val="auto"/>
              </w:rPr>
            </w:pPr>
            <w:r>
              <w:rPr>
                <w:rFonts w:ascii="Arial" w:cs="Arial" w:eastAsia="Arial" w:hAnsi="Arial"/>
                <w:sz w:val="16"/>
                <w:szCs w:val="16"/>
                <w:color w:val="auto"/>
                <w:w w:val="94"/>
              </w:rPr>
              <w:t>incorporation or organization)</w:t>
            </w:r>
          </w:p>
        </w:tc>
        <w:tc>
          <w:tcPr>
            <w:tcW w:w="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80" w:type="dxa"/>
            <w:vAlign w:val="bottom"/>
            <w:gridSpan w:val="3"/>
          </w:tcPr>
          <w:p>
            <w:pPr>
              <w:jc w:val="center"/>
              <w:ind w:right="939"/>
              <w:spacing w:after="0"/>
              <w:rPr>
                <w:sz w:val="20"/>
                <w:szCs w:val="20"/>
                <w:color w:val="auto"/>
              </w:rPr>
            </w:pPr>
            <w:r>
              <w:rPr>
                <w:rFonts w:ascii="Arial" w:cs="Arial" w:eastAsia="Arial" w:hAnsi="Arial"/>
                <w:sz w:val="16"/>
                <w:szCs w:val="16"/>
                <w:color w:val="auto"/>
                <w:w w:val="97"/>
              </w:rPr>
              <w:t>Identification No.)</w:t>
            </w:r>
          </w:p>
        </w:tc>
      </w:tr>
      <w:tr>
        <w:trPr>
          <w:trHeight w:val="303"/>
        </w:trPr>
        <w:tc>
          <w:tcPr>
            <w:tcW w:w="3880" w:type="dxa"/>
            <w:vAlign w:val="bottom"/>
          </w:tcPr>
          <w:p>
            <w:pPr>
              <w:jc w:val="center"/>
              <w:ind w:left="1554"/>
              <w:spacing w:after="0"/>
              <w:rPr>
                <w:sz w:val="20"/>
                <w:szCs w:val="20"/>
                <w:color w:val="auto"/>
              </w:rPr>
            </w:pPr>
            <w:r>
              <w:rPr>
                <w:rFonts w:ascii="Arial" w:cs="Arial" w:eastAsia="Arial" w:hAnsi="Arial"/>
                <w:sz w:val="16"/>
                <w:szCs w:val="16"/>
                <w:b w:val="1"/>
                <w:bCs w:val="1"/>
                <w:color w:val="auto"/>
                <w:w w:val="90"/>
              </w:rPr>
              <w:t>910 Louisiana Street, Suite 4200</w:t>
            </w: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7"/>
        </w:trPr>
        <w:tc>
          <w:tcPr>
            <w:tcW w:w="3880" w:type="dxa"/>
            <w:vAlign w:val="bottom"/>
          </w:tcPr>
          <w:p>
            <w:pPr>
              <w:jc w:val="center"/>
              <w:ind w:left="1554"/>
              <w:spacing w:after="0"/>
              <w:rPr>
                <w:sz w:val="20"/>
                <w:szCs w:val="20"/>
                <w:color w:val="auto"/>
              </w:rPr>
            </w:pPr>
            <w:r>
              <w:rPr>
                <w:rFonts w:ascii="Arial" w:cs="Arial" w:eastAsia="Arial" w:hAnsi="Arial"/>
                <w:sz w:val="16"/>
                <w:szCs w:val="16"/>
                <w:b w:val="1"/>
                <w:bCs w:val="1"/>
                <w:color w:val="auto"/>
                <w:w w:val="93"/>
              </w:rPr>
              <w:t>Houston, TX</w:t>
            </w:r>
          </w:p>
        </w:tc>
        <w:tc>
          <w:tcPr>
            <w:tcW w:w="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8"/>
              </w:rPr>
              <w:t>77002</w:t>
            </w:r>
          </w:p>
        </w:tc>
        <w:tc>
          <w:tcPr>
            <w:tcW w:w="2520" w:type="dxa"/>
            <w:vAlign w:val="bottom"/>
          </w:tcPr>
          <w:p>
            <w:pPr>
              <w:spacing w:after="0"/>
              <w:rPr>
                <w:sz w:val="17"/>
                <w:szCs w:val="17"/>
                <w:color w:val="auto"/>
              </w:rPr>
            </w:pPr>
          </w:p>
        </w:tc>
      </w:tr>
      <w:tr>
        <w:trPr>
          <w:trHeight w:val="198"/>
        </w:trPr>
        <w:tc>
          <w:tcPr>
            <w:tcW w:w="6360" w:type="dxa"/>
            <w:vAlign w:val="bottom"/>
            <w:gridSpan w:val="3"/>
          </w:tcPr>
          <w:p>
            <w:pPr>
              <w:jc w:val="center"/>
              <w:ind w:right="762"/>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4480" w:type="dxa"/>
            <w:vAlign w:val="bottom"/>
            <w:gridSpan w:val="3"/>
          </w:tcPr>
          <w:p>
            <w:pPr>
              <w:jc w:val="center"/>
              <w:ind w:right="919"/>
              <w:spacing w:after="0"/>
              <w:rPr>
                <w:sz w:val="20"/>
                <w:szCs w:val="20"/>
                <w:color w:val="auto"/>
              </w:rPr>
            </w:pPr>
            <w:r>
              <w:rPr>
                <w:rFonts w:ascii="Arial" w:cs="Arial" w:eastAsia="Arial" w:hAnsi="Arial"/>
                <w:sz w:val="16"/>
                <w:szCs w:val="16"/>
                <w:color w:val="auto"/>
                <w:w w:val="95"/>
              </w:rPr>
              <w:t>(Zip Code)</w:t>
            </w:r>
          </w:p>
        </w:tc>
      </w:tr>
      <w:tr>
        <w:trPr>
          <w:trHeight w:val="207"/>
        </w:trPr>
        <w:tc>
          <w:tcPr>
            <w:tcW w:w="3880" w:type="dxa"/>
            <w:vAlign w:val="bottom"/>
          </w:tcPr>
          <w:p>
            <w:pPr>
              <w:spacing w:after="0"/>
              <w:rPr>
                <w:sz w:val="17"/>
                <w:szCs w:val="17"/>
                <w:color w:val="auto"/>
              </w:rPr>
            </w:pPr>
          </w:p>
        </w:tc>
        <w:tc>
          <w:tcPr>
            <w:tcW w:w="2480" w:type="dxa"/>
            <w:vAlign w:val="bottom"/>
            <w:gridSpan w:val="2"/>
          </w:tcPr>
          <w:p>
            <w:pPr>
              <w:jc w:val="center"/>
              <w:ind w:left="941"/>
              <w:spacing w:after="0"/>
              <w:rPr>
                <w:sz w:val="20"/>
                <w:szCs w:val="20"/>
                <w:color w:val="auto"/>
              </w:rPr>
            </w:pPr>
            <w:r>
              <w:rPr>
                <w:rFonts w:ascii="Arial" w:cs="Arial" w:eastAsia="Arial" w:hAnsi="Arial"/>
                <w:sz w:val="16"/>
                <w:szCs w:val="16"/>
                <w:b w:val="1"/>
                <w:bCs w:val="1"/>
                <w:color w:val="auto"/>
                <w:w w:val="93"/>
              </w:rPr>
              <w:t>(832) 413-4770</w:t>
            </w: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6"/>
        </w:trPr>
        <w:tc>
          <w:tcPr>
            <w:tcW w:w="3880" w:type="dxa"/>
            <w:vAlign w:val="bottom"/>
          </w:tcPr>
          <w:p>
            <w:pPr>
              <w:spacing w:after="0"/>
              <w:rPr>
                <w:sz w:val="17"/>
                <w:szCs w:val="17"/>
                <w:color w:val="auto"/>
              </w:rPr>
            </w:pPr>
          </w:p>
        </w:tc>
        <w:tc>
          <w:tcPr>
            <w:tcW w:w="4360" w:type="dxa"/>
            <w:vAlign w:val="bottom"/>
            <w:gridSpan w:val="4"/>
          </w:tcPr>
          <w:p>
            <w:pPr>
              <w:jc w:val="center"/>
              <w:ind w:right="799"/>
              <w:spacing w:after="0"/>
              <w:rPr>
                <w:sz w:val="20"/>
                <w:szCs w:val="20"/>
                <w:color w:val="auto"/>
              </w:rPr>
            </w:pPr>
            <w:r>
              <w:rPr>
                <w:rFonts w:ascii="Arial" w:cs="Arial" w:eastAsia="Arial" w:hAnsi="Arial"/>
                <w:sz w:val="16"/>
                <w:szCs w:val="16"/>
                <w:color w:val="auto"/>
                <w:w w:val="91"/>
              </w:rPr>
              <w:t>(Registrant’s telephone number, including area code)</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10"/>
        </w:trPr>
        <w:tc>
          <w:tcPr>
            <w:tcW w:w="63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Securities Act:</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0"/>
        </w:trPr>
        <w:tc>
          <w:tcPr>
            <w:tcW w:w="38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80" w:type="dxa"/>
            <w:vAlign w:val="bottom"/>
            <w:tcBorders>
              <w:bottom w:val="single" w:sz="8" w:color="auto"/>
            </w:tcBorders>
            <w:gridSpan w:val="3"/>
          </w:tcPr>
          <w:p>
            <w:pPr>
              <w:spacing w:after="0"/>
              <w:rPr>
                <w:sz w:val="5"/>
                <w:szCs w:val="5"/>
                <w:color w:val="auto"/>
              </w:rPr>
            </w:pPr>
          </w:p>
        </w:tc>
      </w:tr>
      <w:tr>
        <w:trPr>
          <w:trHeight w:val="200"/>
        </w:trPr>
        <w:tc>
          <w:tcPr>
            <w:tcW w:w="3880" w:type="dxa"/>
            <w:vAlign w:val="bottom"/>
            <w:tcBorders>
              <w:left w:val="single" w:sz="8" w:color="auto"/>
            </w:tcBorders>
          </w:tcPr>
          <w:p>
            <w:pPr>
              <w:ind w:left="1680"/>
              <w:spacing w:after="0"/>
              <w:rPr>
                <w:sz w:val="20"/>
                <w:szCs w:val="20"/>
                <w:color w:val="auto"/>
              </w:rPr>
            </w:pPr>
            <w:r>
              <w:rPr>
                <w:rFonts w:ascii="Arial" w:cs="Arial" w:eastAsia="Arial" w:hAnsi="Arial"/>
                <w:sz w:val="16"/>
                <w:szCs w:val="16"/>
                <w:color w:val="auto"/>
              </w:rPr>
              <w:t>Title of each class</w:t>
            </w:r>
          </w:p>
        </w:tc>
        <w:tc>
          <w:tcPr>
            <w:tcW w:w="640" w:type="dxa"/>
            <w:vAlign w:val="bottom"/>
            <w:tcBorders>
              <w:right w:val="single" w:sz="8" w:color="auto"/>
            </w:tcBorders>
          </w:tcPr>
          <w:p>
            <w:pPr>
              <w:spacing w:after="0"/>
              <w:rPr>
                <w:sz w:val="17"/>
                <w:szCs w:val="17"/>
                <w:color w:val="auto"/>
              </w:rPr>
            </w:pPr>
          </w:p>
        </w:tc>
        <w:tc>
          <w:tcPr>
            <w:tcW w:w="1840" w:type="dxa"/>
            <w:vAlign w:val="bottom"/>
          </w:tcPr>
          <w:p>
            <w:pPr>
              <w:jc w:val="center"/>
              <w:ind w:left="302"/>
              <w:spacing w:after="0"/>
              <w:rPr>
                <w:sz w:val="20"/>
                <w:szCs w:val="20"/>
                <w:color w:val="auto"/>
              </w:rPr>
            </w:pPr>
            <w:r>
              <w:rPr>
                <w:rFonts w:ascii="Arial" w:cs="Arial" w:eastAsia="Arial" w:hAnsi="Arial"/>
                <w:sz w:val="16"/>
                <w:szCs w:val="16"/>
                <w:color w:val="auto"/>
                <w:w w:val="93"/>
              </w:rPr>
              <w:t>Trading Symbol(s)</w:t>
            </w:r>
          </w:p>
        </w:tc>
        <w:tc>
          <w:tcPr>
            <w:tcW w:w="40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880" w:type="dxa"/>
            <w:vAlign w:val="bottom"/>
            <w:tcBorders>
              <w:left w:val="single" w:sz="8" w:color="auto"/>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gridSpan w:val="3"/>
          </w:tcPr>
          <w:p>
            <w:pPr>
              <w:spacing w:after="0"/>
              <w:rPr>
                <w:sz w:val="3"/>
                <w:szCs w:val="3"/>
                <w:color w:val="auto"/>
              </w:rPr>
            </w:pPr>
          </w:p>
        </w:tc>
      </w:tr>
      <w:tr>
        <w:trPr>
          <w:trHeight w:val="200"/>
        </w:trPr>
        <w:tc>
          <w:tcPr>
            <w:tcW w:w="3880" w:type="dxa"/>
            <w:vAlign w:val="bottom"/>
            <w:tcBorders>
              <w:left w:val="single" w:sz="8" w:color="auto"/>
            </w:tcBorders>
          </w:tcPr>
          <w:p>
            <w:pPr>
              <w:ind w:left="1760"/>
              <w:spacing w:after="0"/>
              <w:rPr>
                <w:sz w:val="20"/>
                <w:szCs w:val="20"/>
                <w:color w:val="auto"/>
              </w:rPr>
            </w:pPr>
            <w:r>
              <w:rPr>
                <w:rFonts w:ascii="Arial" w:cs="Arial" w:eastAsia="Arial" w:hAnsi="Arial"/>
                <w:sz w:val="16"/>
                <w:szCs w:val="16"/>
                <w:color w:val="auto"/>
              </w:rPr>
              <w:t>Common Units</w:t>
            </w:r>
          </w:p>
        </w:tc>
        <w:tc>
          <w:tcPr>
            <w:tcW w:w="640" w:type="dxa"/>
            <w:vAlign w:val="bottom"/>
            <w:tcBorders>
              <w:right w:val="single" w:sz="8" w:color="auto"/>
            </w:tcBorders>
          </w:tcPr>
          <w:p>
            <w:pPr>
              <w:spacing w:after="0"/>
              <w:rPr>
                <w:sz w:val="17"/>
                <w:szCs w:val="17"/>
                <w:color w:val="auto"/>
              </w:rPr>
            </w:pPr>
          </w:p>
        </w:tc>
        <w:tc>
          <w:tcPr>
            <w:tcW w:w="1840" w:type="dxa"/>
            <w:vAlign w:val="bottom"/>
          </w:tcPr>
          <w:p>
            <w:pPr>
              <w:jc w:val="center"/>
              <w:ind w:left="302"/>
              <w:spacing w:after="0"/>
              <w:rPr>
                <w:sz w:val="20"/>
                <w:szCs w:val="20"/>
                <w:color w:val="auto"/>
              </w:rPr>
            </w:pPr>
            <w:r>
              <w:rPr>
                <w:rFonts w:ascii="Arial" w:cs="Arial" w:eastAsia="Arial" w:hAnsi="Arial"/>
                <w:sz w:val="16"/>
                <w:szCs w:val="16"/>
                <w:color w:val="auto"/>
                <w:w w:val="96"/>
              </w:rPr>
              <w:t>SMLP</w:t>
            </w:r>
          </w:p>
        </w:tc>
        <w:tc>
          <w:tcPr>
            <w:tcW w:w="40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37"/>
        </w:trPr>
        <w:tc>
          <w:tcPr>
            <w:tcW w:w="4520" w:type="dxa"/>
            <w:vAlign w:val="bottom"/>
            <w:tcBorders>
              <w:left w:val="single" w:sz="8" w:color="auto"/>
              <w:bottom w:val="single" w:sz="8" w:color="auto"/>
              <w:right w:val="single" w:sz="8" w:color="auto"/>
            </w:tcBorders>
            <w:gridSpan w:val="2"/>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r>
      <w:tr>
        <w:trPr>
          <w:trHeight w:val="298"/>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12(g) of the Act: None</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28"/>
        </w:trPr>
        <w:tc>
          <w:tcPr>
            <w:tcW w:w="824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520" w:type="dxa"/>
            <w:vAlign w:val="bottom"/>
          </w:tcPr>
          <w:p>
            <w:pPr>
              <w:ind w:left="60"/>
              <w:spacing w:after="0"/>
              <w:rPr>
                <w:sz w:val="20"/>
                <w:szCs w:val="20"/>
                <w:color w:val="auto"/>
              </w:rPr>
            </w:pPr>
            <w:r>
              <w:rPr>
                <w:rFonts w:ascii="Arial" w:cs="Arial" w:eastAsia="Arial" w:hAnsi="Arial"/>
                <w:sz w:val="16"/>
                <w:szCs w:val="16"/>
                <w:color w:val="auto"/>
              </w:rPr>
              <w:t>No</w:t>
            </w:r>
          </w:p>
        </w:tc>
      </w:tr>
      <w:tr>
        <w:trPr>
          <w:trHeight w:val="289"/>
        </w:trPr>
        <w:tc>
          <w:tcPr>
            <w:tcW w:w="8240" w:type="dxa"/>
            <w:vAlign w:val="bottom"/>
            <w:gridSpan w:val="5"/>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not required to file reports pursuant to Section 13 or 15(d) of the Securities Act. </w:t>
            </w:r>
            <w:r>
              <w:rPr>
                <w:rFonts w:ascii="MS PGothic" w:cs="MS PGothic" w:eastAsia="MS PGothic" w:hAnsi="MS PGothic"/>
                <w:sz w:val="16"/>
                <w:szCs w:val="16"/>
                <w:color w:val="auto"/>
                <w:w w:val="94"/>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Yes</w:t>
            </w:r>
          </w:p>
        </w:tc>
        <w:tc>
          <w:tcPr>
            <w:tcW w:w="2520" w:type="dxa"/>
            <w:vAlign w:val="bottom"/>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540" w:hanging="330"/>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92" w:lineRule="exact"/>
        <w:rPr>
          <w:sz w:val="24"/>
          <w:szCs w:val="24"/>
          <w:color w:val="auto"/>
        </w:rPr>
      </w:pPr>
    </w:p>
    <w:p>
      <w:pPr>
        <w:ind w:right="400"/>
        <w:spacing w:after="0" w:line="220" w:lineRule="exact"/>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6"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7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7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5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10640" w:type="dxa"/>
            <w:vAlign w:val="bottom"/>
            <w:gridSpan w:val="4"/>
          </w:tcPr>
          <w:p>
            <w:pPr>
              <w:spacing w:after="0"/>
              <w:rPr>
                <w:sz w:val="20"/>
                <w:szCs w:val="20"/>
                <w:color w:val="auto"/>
              </w:rPr>
            </w:pPr>
            <w:r>
              <w:rPr>
                <w:rFonts w:ascii="Arial" w:cs="Arial" w:eastAsia="Arial" w:hAnsi="Arial"/>
                <w:sz w:val="16"/>
                <w:szCs w:val="16"/>
                <w:color w:val="auto"/>
                <w:w w:val="95"/>
              </w:rPr>
              <w:t>reporting under Section 404(b) of the Sarbanes-Oxley Act (15 U.S.C. 7262(b)) by the registered public accounting firm that prepared or issued its audit report.</w:t>
            </w:r>
          </w:p>
        </w:tc>
        <w:tc>
          <w:tcPr>
            <w:tcW w:w="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7420" w:type="dxa"/>
            <w:vAlign w:val="bottom"/>
            <w:gridSpan w:val="3"/>
          </w:tcPr>
          <w:p>
            <w:pPr>
              <w:spacing w:after="0" w:line="184" w:lineRule="exact"/>
              <w:rPr>
                <w:sz w:val="20"/>
                <w:szCs w:val="20"/>
                <w:color w:val="auto"/>
              </w:rPr>
            </w:pPr>
            <w:r>
              <w:rPr>
                <w:rFonts w:ascii="Arial" w:cs="Arial" w:eastAsia="Arial" w:hAnsi="Arial"/>
                <w:sz w:val="16"/>
                <w:szCs w:val="16"/>
                <w:color w:val="auto"/>
                <w:w w:val="94"/>
              </w:rPr>
              <w:t xml:space="preserve">Indicate by check mark whether the registrant is a shell company (as defined in Rule 12b-2 of the Act).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Yes</w:t>
            </w:r>
          </w:p>
        </w:tc>
        <w:tc>
          <w:tcPr>
            <w:tcW w:w="322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600" w:type="dxa"/>
            <w:vAlign w:val="bottom"/>
          </w:tcPr>
          <w:p>
            <w:pPr>
              <w:spacing w:after="0"/>
              <w:rPr>
                <w:sz w:val="22"/>
                <w:szCs w:val="22"/>
                <w:color w:val="auto"/>
              </w:rPr>
            </w:pPr>
          </w:p>
        </w:tc>
      </w:tr>
      <w:tr>
        <w:trPr>
          <w:trHeight w:val="265"/>
        </w:trPr>
        <w:tc>
          <w:tcPr>
            <w:tcW w:w="10640" w:type="dxa"/>
            <w:vAlign w:val="bottom"/>
            <w:gridSpan w:val="4"/>
          </w:tcPr>
          <w:p>
            <w:pPr>
              <w:spacing w:after="0"/>
              <w:rPr>
                <w:sz w:val="20"/>
                <w:szCs w:val="20"/>
                <w:color w:val="auto"/>
              </w:rPr>
            </w:pPr>
            <w:r>
              <w:rPr>
                <w:rFonts w:ascii="Arial" w:cs="Arial" w:eastAsia="Arial" w:hAnsi="Arial"/>
                <w:sz w:val="16"/>
                <w:szCs w:val="16"/>
                <w:color w:val="auto"/>
              </w:rPr>
              <w:t>The aggregate market value of the common units held by non-affiliates of the registrant as of June 30, 2020, was $45,998,000.</w:t>
            </w:r>
          </w:p>
        </w:tc>
        <w:tc>
          <w:tcPr>
            <w:tcW w:w="600" w:type="dxa"/>
            <w:vAlign w:val="bottom"/>
          </w:tcPr>
          <w:p>
            <w:pPr>
              <w:spacing w:after="0"/>
              <w:rPr>
                <w:sz w:val="23"/>
                <w:szCs w:val="23"/>
                <w:color w:val="auto"/>
              </w:rPr>
            </w:pPr>
          </w:p>
        </w:tc>
      </w:tr>
      <w:tr>
        <w:trPr>
          <w:trHeight w:val="270"/>
        </w:trPr>
        <w:tc>
          <w:tcPr>
            <w:tcW w:w="10640" w:type="dxa"/>
            <w:vAlign w:val="bottom"/>
            <w:gridSpan w:val="4"/>
          </w:tcPr>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tc>
        <w:tc>
          <w:tcPr>
            <w:tcW w:w="600" w:type="dxa"/>
            <w:vAlign w:val="bottom"/>
          </w:tcPr>
          <w:p>
            <w:pPr>
              <w:spacing w:after="0"/>
              <w:rPr>
                <w:sz w:val="23"/>
                <w:szCs w:val="23"/>
                <w:color w:val="auto"/>
              </w:rPr>
            </w:pPr>
          </w:p>
        </w:tc>
      </w:tr>
      <w:tr>
        <w:trPr>
          <w:trHeight w:val="236"/>
        </w:trPr>
        <w:tc>
          <w:tcPr>
            <w:tcW w:w="508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Class</w:t>
            </w:r>
          </w:p>
        </w:tc>
        <w:tc>
          <w:tcPr>
            <w:tcW w:w="1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4"/>
              </w:rPr>
              <w:t>As of February 26, 2021</w:t>
            </w:r>
          </w:p>
        </w:tc>
        <w:tc>
          <w:tcPr>
            <w:tcW w:w="600" w:type="dxa"/>
            <w:vAlign w:val="bottom"/>
            <w:tcBorders>
              <w:bottom w:val="single" w:sz="8" w:color="auto"/>
            </w:tcBorders>
          </w:tcPr>
          <w:p>
            <w:pPr>
              <w:spacing w:after="0"/>
              <w:rPr>
                <w:sz w:val="20"/>
                <w:szCs w:val="20"/>
                <w:color w:val="auto"/>
              </w:rPr>
            </w:pPr>
          </w:p>
        </w:tc>
      </w:tr>
      <w:tr>
        <w:trPr>
          <w:trHeight w:val="217"/>
        </w:trPr>
        <w:tc>
          <w:tcPr>
            <w:tcW w:w="7420" w:type="dxa"/>
            <w:vAlign w:val="bottom"/>
            <w:gridSpan w:val="3"/>
          </w:tcPr>
          <w:p>
            <w:pPr>
              <w:ind w:left="2040"/>
              <w:spacing w:after="0"/>
              <w:rPr>
                <w:sz w:val="20"/>
                <w:szCs w:val="20"/>
                <w:color w:val="auto"/>
              </w:rPr>
            </w:pPr>
            <w:r>
              <w:rPr>
                <w:rFonts w:ascii="Arial" w:cs="Arial" w:eastAsia="Arial" w:hAnsi="Arial"/>
                <w:sz w:val="16"/>
                <w:szCs w:val="16"/>
                <w:color w:val="auto"/>
              </w:rPr>
              <w:t>Common Units</w:t>
            </w:r>
          </w:p>
        </w:tc>
        <w:tc>
          <w:tcPr>
            <w:tcW w:w="3220" w:type="dxa"/>
            <w:vAlign w:val="bottom"/>
          </w:tcPr>
          <w:p>
            <w:pPr>
              <w:jc w:val="center"/>
              <w:ind w:right="542"/>
              <w:spacing w:after="0"/>
              <w:rPr>
                <w:sz w:val="20"/>
                <w:szCs w:val="20"/>
                <w:color w:val="auto"/>
              </w:rPr>
            </w:pPr>
            <w:r>
              <w:rPr>
                <w:rFonts w:ascii="Arial" w:cs="Arial" w:eastAsia="Arial" w:hAnsi="Arial"/>
                <w:sz w:val="16"/>
                <w:szCs w:val="16"/>
                <w:color w:val="auto"/>
                <w:w w:val="91"/>
              </w:rPr>
              <w:t>6,110,092 units</w:t>
            </w:r>
          </w:p>
        </w:tc>
        <w:tc>
          <w:tcPr>
            <w:tcW w:w="600" w:type="dxa"/>
            <w:vAlign w:val="bottom"/>
          </w:tcPr>
          <w:p>
            <w:pPr>
              <w:spacing w:after="0"/>
              <w:rPr>
                <w:sz w:val="18"/>
                <w:szCs w:val="18"/>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ind w:left="106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231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PART I</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10">
        <w:r>
          <w:rPr>
            <w:rFonts w:ascii="Arial" w:cs="Arial" w:eastAsia="Arial" w:hAnsi="Arial"/>
            <w:sz w:val="15"/>
            <w:szCs w:val="15"/>
            <w:u w:val="single" w:color="auto"/>
            <w:color w:val="0000EE"/>
          </w:rPr>
          <w:t>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1A.</w:t>
      </w:r>
      <w:r>
        <w:rPr>
          <w:sz w:val="20"/>
          <w:szCs w:val="20"/>
          <w:color w:val="auto"/>
        </w:rPr>
        <w:tab/>
      </w:r>
      <w:hyperlink w:anchor="page31">
        <w:r>
          <w:rPr>
            <w:rFonts w:ascii="Arial" w:cs="Arial" w:eastAsia="Arial" w:hAnsi="Arial"/>
            <w:sz w:val="16"/>
            <w:szCs w:val="16"/>
            <w:u w:val="single" w:color="auto"/>
            <w:color w:val="0000EE"/>
          </w:rPr>
          <w:t>Risk Factors</w:t>
        </w:r>
        <w:r>
          <w:rPr>
            <w:rFonts w:ascii="Arial" w:cs="Arial" w:eastAsia="Arial" w:hAnsi="Arial"/>
            <w:sz w:val="16"/>
            <w:szCs w:val="16"/>
            <w:color w:val="0000EE"/>
          </w:rPr>
          <w:t>.</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1B.</w:t>
      </w:r>
      <w:r>
        <w:rPr>
          <w:sz w:val="20"/>
          <w:szCs w:val="20"/>
          <w:color w:val="auto"/>
        </w:rPr>
        <w:tab/>
      </w:r>
      <w:hyperlink w:anchor="page65">
        <w:r>
          <w:rPr>
            <w:rFonts w:ascii="Arial" w:cs="Arial" w:eastAsia="Arial" w:hAnsi="Arial"/>
            <w:sz w:val="16"/>
            <w:szCs w:val="16"/>
            <w:u w:val="single" w:color="auto"/>
            <w:color w:val="0000EE"/>
          </w:rPr>
          <w:t>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65">
        <w:r>
          <w:rPr>
            <w:rFonts w:ascii="Arial" w:cs="Arial" w:eastAsia="Arial" w:hAnsi="Arial"/>
            <w:sz w:val="16"/>
            <w:szCs w:val="16"/>
            <w:u w:val="single" w:color="auto"/>
            <w:color w:val="0000EE"/>
          </w:rPr>
          <w:t>Properties</w:t>
        </w:r>
        <w:r>
          <w:rPr>
            <w:rFonts w:ascii="Arial" w:cs="Arial" w:eastAsia="Arial" w:hAnsi="Arial"/>
            <w:sz w:val="16"/>
            <w:szCs w:val="16"/>
            <w:color w:val="0000EE"/>
          </w:rPr>
          <w:t>.</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66">
        <w:r>
          <w:rPr>
            <w:rFonts w:ascii="Arial" w:cs="Arial" w:eastAsia="Arial" w:hAnsi="Arial"/>
            <w:sz w:val="16"/>
            <w:szCs w:val="16"/>
            <w:u w:val="single" w:color="auto"/>
            <w:color w:val="0000EE"/>
          </w:rPr>
          <w:t>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66">
        <w:r>
          <w:rPr>
            <w:rFonts w:ascii="Arial" w:cs="Arial" w:eastAsia="Arial" w:hAnsi="Arial"/>
            <w:sz w:val="16"/>
            <w:szCs w:val="16"/>
            <w:u w:val="single" w:color="auto"/>
            <w:color w:val="0000EE"/>
          </w:rPr>
          <w:t>Mine Safety Disclosures</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PART II</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5.</w:t>
      </w:r>
      <w:r>
        <w:rPr>
          <w:sz w:val="20"/>
          <w:szCs w:val="20"/>
          <w:color w:val="auto"/>
        </w:rPr>
        <w:tab/>
      </w:r>
      <w:hyperlink w:anchor="page67">
        <w:r>
          <w:rPr>
            <w:rFonts w:ascii="Arial" w:cs="Arial" w:eastAsia="Arial" w:hAnsi="Arial"/>
            <w:sz w:val="16"/>
            <w:szCs w:val="16"/>
            <w:u w:val="single" w:color="auto"/>
            <w:color w:val="0000EE"/>
          </w:rPr>
          <w:t>Market for Registrant’s Common Equity, Related Stockholder Matters and Issuer Purchases of Equity Securities</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31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59"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7.</w:t>
      </w:r>
      <w:r>
        <w:rPr>
          <w:sz w:val="20"/>
          <w:szCs w:val="20"/>
          <w:color w:val="auto"/>
        </w:rPr>
        <w:tab/>
      </w:r>
      <w:hyperlink w:anchor="page70">
        <w:r>
          <w:rPr>
            <w:rFonts w:ascii="Arial" w:cs="Arial" w:eastAsia="Arial" w:hAnsi="Arial"/>
            <w:sz w:val="16"/>
            <w:szCs w:val="16"/>
            <w:u w:val="single" w:color="auto"/>
            <w:color w:val="0000EE"/>
          </w:rPr>
          <w:t>Management’s Discussion and Analysis of Financial Condition and Results of Operations.</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7A.</w:t>
      </w:r>
      <w:r>
        <w:rPr>
          <w:sz w:val="20"/>
          <w:szCs w:val="20"/>
          <w:color w:val="auto"/>
        </w:rPr>
        <w:tab/>
      </w:r>
      <w:hyperlink w:anchor="page97">
        <w:r>
          <w:rPr>
            <w:rFonts w:ascii="Arial" w:cs="Arial" w:eastAsia="Arial" w:hAnsi="Arial"/>
            <w:sz w:val="16"/>
            <w:szCs w:val="16"/>
            <w:u w:val="single" w:color="auto"/>
            <w:color w:val="0000EE"/>
          </w:rPr>
          <w:t>Quantitative and Qualitative Disclosures about Market Risk</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59"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8.</w:t>
      </w:r>
      <w:r>
        <w:rPr>
          <w:sz w:val="20"/>
          <w:szCs w:val="20"/>
          <w:color w:val="auto"/>
        </w:rPr>
        <w:tab/>
      </w:r>
      <w:hyperlink w:anchor="page98">
        <w:r>
          <w:rPr>
            <w:rFonts w:ascii="Arial" w:cs="Arial" w:eastAsia="Arial" w:hAnsi="Arial"/>
            <w:sz w:val="16"/>
            <w:szCs w:val="16"/>
            <w:u w:val="single" w:color="auto"/>
            <w:color w:val="0000EE"/>
          </w:rPr>
          <w:t>Financial Statements and Supplementary Data.</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134">
        <w:r>
          <w:rPr>
            <w:rFonts w:ascii="Arial" w:cs="Arial" w:eastAsia="Arial" w:hAnsi="Arial"/>
            <w:sz w:val="16"/>
            <w:szCs w:val="16"/>
            <w:u w:val="single" w:color="auto"/>
            <w:color w:val="0000EE"/>
          </w:rPr>
          <w:t>Changes in and Disagreements with Accountants on Accounting and Financial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134">
        <w:r>
          <w:rPr>
            <w:rFonts w:ascii="Arial" w:cs="Arial" w:eastAsia="Arial" w:hAnsi="Arial"/>
            <w:sz w:val="16"/>
            <w:szCs w:val="16"/>
            <w:u w:val="single" w:color="auto"/>
            <w:color w:val="0000EE"/>
          </w:rPr>
          <w:t>Controls and Procedures</w:t>
        </w:r>
        <w:r>
          <w:rPr>
            <w:rFonts w:ascii="Arial" w:cs="Arial" w:eastAsia="Arial" w:hAnsi="Arial"/>
            <w:sz w:val="16"/>
            <w:szCs w:val="16"/>
            <w:color w:val="0000EE"/>
          </w:rPr>
          <w:t>.</w:t>
        </w:r>
      </w:hyperlink>
    </w:p>
    <w:p>
      <w:pPr>
        <w:spacing w:after="0" w:line="279"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137">
        <w:r>
          <w:rPr>
            <w:rFonts w:ascii="Arial" w:cs="Arial" w:eastAsia="Arial" w:hAnsi="Arial"/>
            <w:sz w:val="16"/>
            <w:szCs w:val="16"/>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Part III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57"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10.</w:t>
      </w:r>
      <w:r>
        <w:rPr>
          <w:sz w:val="20"/>
          <w:szCs w:val="20"/>
          <w:color w:val="auto"/>
        </w:rPr>
        <w:tab/>
      </w:r>
      <w:hyperlink w:anchor="page138">
        <w:r>
          <w:rPr>
            <w:rFonts w:ascii="Arial" w:cs="Arial" w:eastAsia="Arial" w:hAnsi="Arial"/>
            <w:sz w:val="16"/>
            <w:szCs w:val="16"/>
            <w:u w:val="single" w:color="auto"/>
            <w:color w:val="0000EE"/>
          </w:rPr>
          <w:t>Directors, Executive Officers and Corporate Governance.</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11.</w:t>
      </w:r>
      <w:r>
        <w:rPr>
          <w:sz w:val="20"/>
          <w:szCs w:val="20"/>
          <w:color w:val="auto"/>
        </w:rPr>
        <w:tab/>
      </w:r>
      <w:hyperlink w:anchor="page143">
        <w:r>
          <w:rPr>
            <w:rFonts w:ascii="Arial" w:cs="Arial" w:eastAsia="Arial" w:hAnsi="Arial"/>
            <w:sz w:val="16"/>
            <w:szCs w:val="16"/>
            <w:u w:val="single" w:color="auto"/>
            <w:color w:val="0000EE"/>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12.</w:t>
      </w:r>
      <w:r>
        <w:rPr>
          <w:sz w:val="20"/>
          <w:szCs w:val="20"/>
          <w:color w:val="auto"/>
        </w:rPr>
        <w:tab/>
      </w:r>
      <w:hyperlink w:anchor="page157">
        <w:r>
          <w:rPr>
            <w:rFonts w:ascii="Arial" w:cs="Arial" w:eastAsia="Arial" w:hAnsi="Arial"/>
            <w:sz w:val="16"/>
            <w:szCs w:val="16"/>
            <w:u w:val="single" w:color="auto"/>
            <w:color w:val="0000EE"/>
          </w:rPr>
          <w:t>Security Ownership of Certain Beneficial Owners and Management and Related Stockholder Matters.</w:t>
        </w:r>
      </w:hyperlink>
    </w:p>
    <w:p>
      <w:pPr>
        <w:spacing w:after="0" w:line="15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13.</w:t>
      </w:r>
      <w:r>
        <w:rPr>
          <w:sz w:val="20"/>
          <w:szCs w:val="20"/>
          <w:color w:val="auto"/>
        </w:rPr>
        <w:tab/>
      </w:r>
      <w:hyperlink w:anchor="page159">
        <w:r>
          <w:rPr>
            <w:rFonts w:ascii="Arial" w:cs="Arial" w:eastAsia="Arial" w:hAnsi="Arial"/>
            <w:sz w:val="16"/>
            <w:szCs w:val="16"/>
            <w:u w:val="single" w:color="auto"/>
            <w:color w:val="0000EE"/>
          </w:rPr>
          <w:t>Certain Relationships and Related Transactions, and Director Independence.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59"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14.</w:t>
      </w:r>
      <w:r>
        <w:rPr>
          <w:sz w:val="20"/>
          <w:szCs w:val="20"/>
          <w:color w:val="auto"/>
        </w:rPr>
        <w:tab/>
      </w:r>
      <w:hyperlink w:anchor="page161">
        <w:r>
          <w:rPr>
            <w:rFonts w:ascii="Arial" w:cs="Arial" w:eastAsia="Arial" w:hAnsi="Arial"/>
            <w:sz w:val="16"/>
            <w:szCs w:val="16"/>
            <w:u w:val="single" w:color="auto"/>
            <w:color w:val="0000EE"/>
          </w:rPr>
          <w:t>Principal Accounting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Part IV</w:t>
        </w:r>
      </w:hyperlink>
    </w:p>
    <w:p>
      <w:pPr>
        <w:spacing w:after="0" w:line="77"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15.</w:t>
      </w:r>
      <w:r>
        <w:rPr>
          <w:sz w:val="20"/>
          <w:szCs w:val="20"/>
          <w:color w:val="auto"/>
        </w:rPr>
        <w:tab/>
      </w:r>
      <w:hyperlink w:anchor="page162">
        <w:r>
          <w:rPr>
            <w:rFonts w:ascii="Arial" w:cs="Arial" w:eastAsia="Arial" w:hAnsi="Arial"/>
            <w:sz w:val="16"/>
            <w:szCs w:val="16"/>
            <w:u w:val="single" w:color="auto"/>
            <w:color w:val="0000EE"/>
          </w:rPr>
          <w:t>Exhibits,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Item 16.</w:t>
      </w:r>
      <w:r>
        <w:rPr>
          <w:sz w:val="20"/>
          <w:szCs w:val="20"/>
          <w:color w:val="auto"/>
        </w:rPr>
        <w:tab/>
      </w:r>
      <w:hyperlink w:anchor="page166">
        <w:r>
          <w:rPr>
            <w:rFonts w:ascii="Arial" w:cs="Arial" w:eastAsia="Arial" w:hAnsi="Arial"/>
            <w:sz w:val="16"/>
            <w:szCs w:val="16"/>
            <w:u w:val="single" w:color="auto"/>
            <w:color w:val="0000EE"/>
          </w:rPr>
          <w:t>Form 10-K Summary</w:t>
        </w:r>
        <w:r>
          <w:rPr>
            <w:rFonts w:ascii="Arial" w:cs="Arial" w:eastAsia="Arial" w:hAnsi="Arial"/>
            <w:sz w:val="16"/>
            <w:szCs w:val="16"/>
            <w:u w:val="single" w:color="auto"/>
            <w:color w:val="000000"/>
          </w:rPr>
          <w:t>.</w:t>
        </w:r>
      </w:hyperlink>
    </w:p>
    <w:p>
      <w:pPr>
        <w:spacing w:after="0" w:line="200" w:lineRule="exact"/>
        <w:rPr>
          <w:sz w:val="20"/>
          <w:szCs w:val="20"/>
          <w:color w:val="auto"/>
        </w:rPr>
      </w:pPr>
    </w:p>
    <w:p>
      <w:pPr>
        <w:spacing w:after="0" w:line="241" w:lineRule="exact"/>
        <w:rPr>
          <w:sz w:val="20"/>
          <w:szCs w:val="20"/>
          <w:color w:val="auto"/>
        </w:rPr>
      </w:pPr>
    </w:p>
    <w:p>
      <w:pPr>
        <w:ind w:left="6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Signature Page</w:t>
        </w:r>
      </w:hyperlink>
    </w:p>
    <w:p>
      <w:pPr>
        <w:spacing w:after="0" w:line="200" w:lineRule="exact"/>
        <w:rPr>
          <w:sz w:val="20"/>
          <w:szCs w:val="20"/>
          <w:color w:val="auto"/>
        </w:rPr>
      </w:pPr>
    </w:p>
    <w:p>
      <w:pPr>
        <w:spacing w:after="0" w:line="376"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10</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10</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31</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65</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65</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66</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66</w:t>
        </w:r>
      </w:hyperlink>
    </w:p>
    <w:p>
      <w:pPr>
        <w:spacing w:after="0" w:line="200" w:lineRule="exact"/>
        <w:rPr>
          <w:sz w:val="20"/>
          <w:szCs w:val="20"/>
          <w:color w:val="auto"/>
        </w:rPr>
      </w:pPr>
    </w:p>
    <w:p>
      <w:pPr>
        <w:spacing w:after="0" w:line="264" w:lineRule="exact"/>
        <w:rPr>
          <w:sz w:val="20"/>
          <w:szCs w:val="20"/>
          <w:color w:val="auto"/>
        </w:rPr>
      </w:pPr>
    </w:p>
    <w:p>
      <w:pPr>
        <w:ind w:left="8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67</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67</w:t>
        </w:r>
      </w:hyperlink>
    </w:p>
    <w:p>
      <w:pPr>
        <w:spacing w:after="0" w:line="302" w:lineRule="exact"/>
        <w:rPr>
          <w:sz w:val="20"/>
          <w:szCs w:val="20"/>
          <w:color w:val="auto"/>
        </w:rPr>
      </w:pPr>
    </w:p>
    <w:p>
      <w:pPr>
        <w:ind w:left="8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70</w:t>
        </w:r>
      </w:hyperlink>
    </w:p>
    <w:p>
      <w:pPr>
        <w:spacing w:after="0" w:line="181" w:lineRule="exact"/>
        <w:rPr>
          <w:sz w:val="20"/>
          <w:szCs w:val="20"/>
          <w:color w:val="auto"/>
        </w:rPr>
      </w:pPr>
    </w:p>
    <w:p>
      <w:pPr>
        <w:ind w:left="8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97</w:t>
        </w:r>
      </w:hyperlink>
    </w:p>
    <w:p>
      <w:pPr>
        <w:spacing w:after="0" w:line="302" w:lineRule="exact"/>
        <w:rPr>
          <w:sz w:val="20"/>
          <w:szCs w:val="20"/>
          <w:color w:val="auto"/>
        </w:rPr>
      </w:pPr>
    </w:p>
    <w:p>
      <w:pPr>
        <w:ind w:left="8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98</w:t>
        </w:r>
      </w:hyperlink>
    </w:p>
    <w:p>
      <w:pPr>
        <w:spacing w:after="0" w:line="181" w:lineRule="exact"/>
        <w:rPr>
          <w:sz w:val="20"/>
          <w:szCs w:val="20"/>
          <w:color w:val="auto"/>
        </w:rPr>
      </w:pPr>
    </w:p>
    <w:p>
      <w:pPr>
        <w:spacing w:after="0"/>
        <w:rPr>
          <w:rFonts w:ascii="Arial" w:cs="Arial" w:eastAsia="Arial" w:hAnsi="Arial"/>
          <w:sz w:val="15"/>
          <w:szCs w:val="15"/>
          <w:u w:val="single" w:color="auto"/>
          <w:color w:val="0000EE"/>
        </w:rPr>
      </w:pPr>
      <w:hyperlink w:anchor="page134">
        <w:r>
          <w:rPr>
            <w:rFonts w:ascii="Arial" w:cs="Arial" w:eastAsia="Arial" w:hAnsi="Arial"/>
            <w:sz w:val="15"/>
            <w:szCs w:val="15"/>
            <w:u w:val="single" w:color="auto"/>
            <w:color w:val="0000EE"/>
          </w:rPr>
          <w:t>134</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134">
        <w:r>
          <w:rPr>
            <w:rFonts w:ascii="Arial" w:cs="Arial" w:eastAsia="Arial" w:hAnsi="Arial"/>
            <w:sz w:val="15"/>
            <w:szCs w:val="15"/>
            <w:u w:val="single" w:color="auto"/>
            <w:color w:val="0000EE"/>
          </w:rPr>
          <w:t>134</w:t>
        </w:r>
      </w:hyperlink>
    </w:p>
    <w:p>
      <w:pPr>
        <w:spacing w:after="0" w:line="314" w:lineRule="exact"/>
        <w:rPr>
          <w:sz w:val="20"/>
          <w:szCs w:val="20"/>
          <w:color w:val="auto"/>
        </w:rPr>
      </w:pPr>
    </w:p>
    <w:p>
      <w:pPr>
        <w:spacing w:after="0"/>
        <w:rPr>
          <w:rFonts w:ascii="Arial" w:cs="Arial" w:eastAsia="Arial" w:hAnsi="Arial"/>
          <w:sz w:val="15"/>
          <w:szCs w:val="15"/>
          <w:u w:val="single" w:color="auto"/>
          <w:color w:val="0000EE"/>
        </w:rPr>
      </w:pPr>
      <w:hyperlink w:anchor="page137">
        <w:r>
          <w:rPr>
            <w:rFonts w:ascii="Arial" w:cs="Arial" w:eastAsia="Arial" w:hAnsi="Arial"/>
            <w:sz w:val="15"/>
            <w:szCs w:val="15"/>
            <w:u w:val="single" w:color="auto"/>
            <w:color w:val="0000EE"/>
          </w:rPr>
          <w:t>137</w:t>
        </w:r>
      </w:hyperlink>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5"/>
          <w:szCs w:val="15"/>
          <w:u w:val="single" w:color="auto"/>
          <w:color w:val="0000EE"/>
        </w:rPr>
      </w:pPr>
      <w:hyperlink w:anchor="page138">
        <w:r>
          <w:rPr>
            <w:rFonts w:ascii="Arial" w:cs="Arial" w:eastAsia="Arial" w:hAnsi="Arial"/>
            <w:sz w:val="15"/>
            <w:szCs w:val="15"/>
            <w:u w:val="single" w:color="auto"/>
            <w:color w:val="0000EE"/>
          </w:rPr>
          <w:t>138</w:t>
        </w:r>
      </w:hyperlink>
    </w:p>
    <w:p>
      <w:pPr>
        <w:spacing w:after="0" w:line="71" w:lineRule="exact"/>
        <w:rPr>
          <w:sz w:val="20"/>
          <w:szCs w:val="20"/>
          <w:color w:val="auto"/>
        </w:rPr>
      </w:pPr>
    </w:p>
    <w:p>
      <w:pPr>
        <w:spacing w:after="0"/>
        <w:rPr>
          <w:rFonts w:ascii="Arial" w:cs="Arial" w:eastAsia="Arial" w:hAnsi="Arial"/>
          <w:sz w:val="15"/>
          <w:szCs w:val="15"/>
          <w:u w:val="single" w:color="auto"/>
          <w:color w:val="0000EE"/>
        </w:rPr>
      </w:pPr>
      <w:hyperlink w:anchor="page138">
        <w:r>
          <w:rPr>
            <w:rFonts w:ascii="Arial" w:cs="Arial" w:eastAsia="Arial" w:hAnsi="Arial"/>
            <w:sz w:val="15"/>
            <w:szCs w:val="15"/>
            <w:u w:val="single" w:color="auto"/>
            <w:color w:val="0000EE"/>
          </w:rPr>
          <w:t>138</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143</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157">
        <w:r>
          <w:rPr>
            <w:rFonts w:ascii="Arial" w:cs="Arial" w:eastAsia="Arial" w:hAnsi="Arial"/>
            <w:sz w:val="15"/>
            <w:szCs w:val="15"/>
            <w:u w:val="single" w:color="auto"/>
            <w:color w:val="0000EE"/>
          </w:rPr>
          <w:t>157</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159">
        <w:r>
          <w:rPr>
            <w:rFonts w:ascii="Arial" w:cs="Arial" w:eastAsia="Arial" w:hAnsi="Arial"/>
            <w:sz w:val="15"/>
            <w:szCs w:val="15"/>
            <w:u w:val="single" w:color="auto"/>
            <w:color w:val="0000EE"/>
          </w:rPr>
          <w:t>159</w:t>
        </w:r>
      </w:hyperlink>
    </w:p>
    <w:p>
      <w:pPr>
        <w:spacing w:after="0" w:line="314" w:lineRule="exact"/>
        <w:rPr>
          <w:sz w:val="20"/>
          <w:szCs w:val="20"/>
          <w:color w:val="auto"/>
        </w:rPr>
      </w:pPr>
    </w:p>
    <w:p>
      <w:pPr>
        <w:spacing w:after="0"/>
        <w:rPr>
          <w:rFonts w:ascii="Arial" w:cs="Arial" w:eastAsia="Arial" w:hAnsi="Arial"/>
          <w:sz w:val="15"/>
          <w:szCs w:val="15"/>
          <w:u w:val="single" w:color="auto"/>
          <w:color w:val="0000EE"/>
        </w:rPr>
      </w:pPr>
      <w:hyperlink w:anchor="page161">
        <w:r>
          <w:rPr>
            <w:rFonts w:ascii="Arial" w:cs="Arial" w:eastAsia="Arial" w:hAnsi="Arial"/>
            <w:sz w:val="15"/>
            <w:szCs w:val="15"/>
            <w:u w:val="single" w:color="auto"/>
            <w:color w:val="0000EE"/>
          </w:rPr>
          <w:t>161</w:t>
        </w:r>
      </w:hyperlink>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5"/>
          <w:szCs w:val="15"/>
          <w:u w:val="single" w:color="auto"/>
          <w:color w:val="0000EE"/>
        </w:rPr>
      </w:pPr>
      <w:hyperlink w:anchor="page162">
        <w:r>
          <w:rPr>
            <w:rFonts w:ascii="Arial" w:cs="Arial" w:eastAsia="Arial" w:hAnsi="Arial"/>
            <w:sz w:val="15"/>
            <w:szCs w:val="15"/>
            <w:u w:val="single" w:color="auto"/>
            <w:color w:val="0000EE"/>
          </w:rPr>
          <w:t>162</w:t>
        </w:r>
      </w:hyperlink>
    </w:p>
    <w:p>
      <w:pPr>
        <w:spacing w:after="0" w:line="71" w:lineRule="exact"/>
        <w:rPr>
          <w:sz w:val="20"/>
          <w:szCs w:val="20"/>
          <w:color w:val="auto"/>
        </w:rPr>
      </w:pPr>
    </w:p>
    <w:p>
      <w:pPr>
        <w:spacing w:after="0"/>
        <w:rPr>
          <w:rFonts w:ascii="Arial" w:cs="Arial" w:eastAsia="Arial" w:hAnsi="Arial"/>
          <w:sz w:val="15"/>
          <w:szCs w:val="15"/>
          <w:u w:val="single" w:color="auto"/>
          <w:color w:val="0000EE"/>
        </w:rPr>
      </w:pPr>
      <w:hyperlink w:anchor="page162">
        <w:r>
          <w:rPr>
            <w:rFonts w:ascii="Arial" w:cs="Arial" w:eastAsia="Arial" w:hAnsi="Arial"/>
            <w:sz w:val="15"/>
            <w:szCs w:val="15"/>
            <w:u w:val="single" w:color="auto"/>
            <w:color w:val="0000EE"/>
          </w:rPr>
          <w:t>162</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166">
        <w:r>
          <w:rPr>
            <w:rFonts w:ascii="Arial" w:cs="Arial" w:eastAsia="Arial" w:hAnsi="Arial"/>
            <w:sz w:val="15"/>
            <w:szCs w:val="15"/>
            <w:u w:val="single" w:color="auto"/>
            <w:color w:val="0000EE"/>
          </w:rPr>
          <w:t>166</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EE"/>
        </w:rPr>
      </w:pPr>
      <w:hyperlink w:anchor="page167">
        <w:r>
          <w:rPr>
            <w:rFonts w:ascii="Arial" w:cs="Arial" w:eastAsia="Arial" w:hAnsi="Arial"/>
            <w:sz w:val="15"/>
            <w:szCs w:val="15"/>
            <w:u w:val="single" w:color="auto"/>
            <w:color w:val="0000EE"/>
          </w:rPr>
          <w:t>167</w:t>
        </w:r>
      </w:hyperlink>
    </w:p>
    <w:p>
      <w:pPr>
        <w:sectPr>
          <w:pgSz w:w="11900" w:h="16838" w:orient="portrait"/>
          <w:cols w:equalWidth="0" w:num="2">
            <w:col w:w="10200" w:space="720"/>
            <w:col w:w="260"/>
          </w:cols>
          <w:pgMar w:left="320" w:top="247" w:right="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Annual Report on Form 10-K (this “Annual Report”).</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92" w:lineRule="exact"/>
        <w:rPr>
          <w:sz w:val="20"/>
          <w:szCs w:val="20"/>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23" w:lineRule="exact"/>
        <w:rPr>
          <w:rFonts w:ascii="Arial" w:cs="Arial" w:eastAsia="Arial" w:hAnsi="Arial"/>
          <w:sz w:val="18"/>
          <w:szCs w:val="18"/>
          <w:color w:val="auto"/>
        </w:rPr>
      </w:pPr>
    </w:p>
    <w:p>
      <w:pPr>
        <w:ind w:left="800" w:right="44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w:t>
      </w:r>
    </w:p>
    <w:p>
      <w:pPr>
        <w:ind w:left="800" w:right="22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ind w:left="800" w:hanging="40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current and potential future impact of the COVID-19 pandemic on our business, results of operations, financial position or cash flows;</w:t>
      </w:r>
    </w:p>
    <w:p>
      <w:pPr>
        <w:spacing w:after="0" w:line="34" w:lineRule="exact"/>
        <w:rPr>
          <w:rFonts w:ascii="Arial" w:cs="Arial" w:eastAsia="Arial" w:hAnsi="Arial"/>
          <w:sz w:val="17"/>
          <w:szCs w:val="17"/>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22" w:lineRule="exact"/>
        <w:rPr>
          <w:rFonts w:ascii="Arial" w:cs="Arial" w:eastAsia="Arial" w:hAnsi="Arial"/>
          <w:sz w:val="18"/>
          <w:szCs w:val="18"/>
          <w:color w:val="auto"/>
        </w:rPr>
      </w:pPr>
    </w:p>
    <w:p>
      <w:pPr>
        <w:ind w:left="800" w:right="12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ind w:left="800" w:right="40" w:hanging="401"/>
        <w:spacing w:after="0" w:line="299"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ind w:left="800" w:right="46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commercial bank and capital market conditions and the potential impact of changes or disruptions in the credit and/or capital markets;</w:t>
      </w:r>
    </w:p>
    <w:p>
      <w:pPr>
        <w:spacing w:after="0" w:line="34" w:lineRule="exact"/>
        <w:rPr>
          <w:rFonts w:ascii="Arial" w:cs="Arial" w:eastAsia="Arial" w:hAnsi="Arial"/>
          <w:sz w:val="17"/>
          <w:szCs w:val="17"/>
          <w:color w:val="auto"/>
        </w:rPr>
      </w:pPr>
    </w:p>
    <w:p>
      <w:pPr>
        <w:ind w:left="800" w:right="20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45" w:lineRule="exact"/>
        <w:rPr>
          <w:rFonts w:ascii="Arial" w:cs="Arial" w:eastAsia="Arial" w:hAnsi="Arial"/>
          <w:sz w:val="16"/>
          <w:szCs w:val="16"/>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22" w:lineRule="exact"/>
        <w:rPr>
          <w:rFonts w:ascii="Arial" w:cs="Arial" w:eastAsia="Arial" w:hAnsi="Arial"/>
          <w:sz w:val="18"/>
          <w:szCs w:val="18"/>
          <w:color w:val="auto"/>
        </w:rPr>
      </w:pPr>
    </w:p>
    <w:p>
      <w:pPr>
        <w:ind w:left="800" w:right="420" w:hanging="401"/>
        <w:spacing w:after="0" w:line="26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ind w:left="800" w:right="80" w:hanging="401"/>
        <w:spacing w:after="0" w:line="281"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1" w:lineRule="exact"/>
        <w:rPr>
          <w:rFonts w:ascii="Arial" w:cs="Arial" w:eastAsia="Arial" w:hAnsi="Arial"/>
          <w:sz w:val="17"/>
          <w:szCs w:val="17"/>
          <w:color w:val="auto"/>
        </w:rPr>
      </w:pPr>
    </w:p>
    <w:p>
      <w:pPr>
        <w:ind w:left="800" w:right="180" w:hanging="401"/>
        <w:spacing w:after="0" w:line="292"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right="440" w:hanging="401"/>
        <w:spacing w:after="0" w:line="299"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 w:lineRule="exact"/>
        <w:rPr>
          <w:rFonts w:ascii="Arial" w:cs="Arial" w:eastAsia="Arial" w:hAnsi="Arial"/>
          <w:sz w:val="16"/>
          <w:szCs w:val="16"/>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22"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This summary briefly lists the principal risks and uncertainties facing our business, which are only a select portion of those risks. A more complete discussion of those risks and uncertainties is set forth in Part I, Item 1A of this Annual Report. Additional risks not presently known to us or that we currently deem immaterial may also affect us. If any of these risks occur, our business, financial condition or results of operations could be materially and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the following principal risks and uncertainties: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COVID-19</w:t>
      </w:r>
    </w:p>
    <w:p>
      <w:pPr>
        <w:spacing w:after="0" w:line="131" w:lineRule="exact"/>
        <w:rPr>
          <w:sz w:val="20"/>
          <w:szCs w:val="20"/>
          <w:color w:val="auto"/>
        </w:rPr>
      </w:pPr>
    </w:p>
    <w:p>
      <w:pPr>
        <w:ind w:left="800" w:right="620" w:hanging="401"/>
        <w:spacing w:after="0" w:line="324"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coupled with other current pressures on oil and gas prices resulting from the OPEC price war, has had, and is expected to continue to have, an adverse impact on our business, results of operations, financial position and cash flows.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31" w:lineRule="exact"/>
        <w:rPr>
          <w:sz w:val="20"/>
          <w:szCs w:val="20"/>
          <w:color w:val="auto"/>
        </w:rPr>
      </w:pPr>
    </w:p>
    <w:p>
      <w:pPr>
        <w:ind w:left="800" w:right="8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sufficient cash from operations following the establishment of cash reserves and payment of fees and expenses to enable us to pay distributions to holders of our common units.</w:t>
      </w:r>
    </w:p>
    <w:p>
      <w:pPr>
        <w:spacing w:after="0" w:line="61" w:lineRule="exact"/>
        <w:rPr>
          <w:rFonts w:ascii="Arial" w:cs="Arial" w:eastAsia="Arial" w:hAnsi="Arial"/>
          <w:sz w:val="18"/>
          <w:szCs w:val="18"/>
          <w:color w:val="auto"/>
        </w:rPr>
      </w:pPr>
    </w:p>
    <w:p>
      <w:pPr>
        <w:ind w:left="800" w:right="140" w:hanging="401"/>
        <w:spacing w:after="0" w:line="27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ability to make cash distributions to our unitholders.</w:t>
      </w:r>
    </w:p>
    <w:p>
      <w:pPr>
        <w:spacing w:after="0" w:line="74" w:lineRule="exact"/>
        <w:rPr>
          <w:rFonts w:ascii="Arial" w:cs="Arial" w:eastAsia="Arial" w:hAnsi="Arial"/>
          <w:sz w:val="18"/>
          <w:szCs w:val="18"/>
          <w:color w:val="auto"/>
        </w:rPr>
      </w:pPr>
    </w:p>
    <w:p>
      <w:pPr>
        <w:ind w:left="800" w:hanging="401"/>
        <w:spacing w:after="0" w:line="324"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39" w:lineRule="exact"/>
        <w:rPr>
          <w:rFonts w:ascii="Arial" w:cs="Arial" w:eastAsia="Arial" w:hAnsi="Arial"/>
          <w:sz w:val="17"/>
          <w:szCs w:val="17"/>
          <w:color w:val="auto"/>
        </w:rPr>
      </w:pPr>
    </w:p>
    <w:p>
      <w:pPr>
        <w:ind w:left="800" w:right="10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developments in our areas of operation could materially adversely impact our financial condition, results of operations, cash flows and ability to make cash distributions to our unitholders.</w:t>
      </w:r>
    </w:p>
    <w:p>
      <w:pPr>
        <w:spacing w:after="0" w:line="61" w:lineRule="exact"/>
        <w:rPr>
          <w:rFonts w:ascii="Arial" w:cs="Arial" w:eastAsia="Arial" w:hAnsi="Arial"/>
          <w:sz w:val="18"/>
          <w:szCs w:val="18"/>
          <w:color w:val="auto"/>
        </w:rPr>
      </w:pPr>
    </w:p>
    <w:p>
      <w:pPr>
        <w:ind w:left="80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prolonged weakness in natural gas, NGL and crude oil prices could reduce throughput on our systems and materially adversely affect our revenues and ability to make cash distributions to our unitholders.</w:t>
      </w:r>
    </w:p>
    <w:p>
      <w:pPr>
        <w:spacing w:after="0" w:line="61" w:lineRule="exact"/>
        <w:rPr>
          <w:rFonts w:ascii="Arial" w:cs="Arial" w:eastAsia="Arial" w:hAnsi="Arial"/>
          <w:sz w:val="18"/>
          <w:szCs w:val="18"/>
          <w:color w:val="auto"/>
        </w:rPr>
      </w:pPr>
    </w:p>
    <w:p>
      <w:pPr>
        <w:ind w:left="800" w:right="26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significant decrease in the demand for natural gas and crude oil could reduce the volumes of natural gas and crude oil that we gather and process, which could adversely affect our business and operating results.</w:t>
      </w:r>
    </w:p>
    <w:p>
      <w:pPr>
        <w:spacing w:after="0" w:line="61"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industry is highly competitive, and increased competitive pressure could materially adversely affect our business and operating results.</w:t>
      </w:r>
    </w:p>
    <w:p>
      <w:pPr>
        <w:spacing w:after="0" w:line="153" w:lineRule="exact"/>
        <w:rPr>
          <w:rFonts w:ascii="Arial" w:cs="Arial" w:eastAsia="Arial" w:hAnsi="Arial"/>
          <w:sz w:val="16"/>
          <w:szCs w:val="16"/>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renew or replace expiring contracts at favorable rates or on a long term basis.</w:t>
      </w:r>
    </w:p>
    <w:p>
      <w:pPr>
        <w:spacing w:after="0" w:line="130" w:lineRule="exact"/>
        <w:rPr>
          <w:rFonts w:ascii="Arial" w:cs="Arial" w:eastAsia="Arial" w:hAnsi="Arial"/>
          <w:sz w:val="18"/>
          <w:szCs w:val="18"/>
          <w:color w:val="auto"/>
        </w:rPr>
      </w:pPr>
    </w:p>
    <w:p>
      <w:pPr>
        <w:ind w:left="800" w:right="14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in operations at any of our facilities may adversely affect our operations and cash flows and our ability to make cash distributions to our unitholders.</w:t>
      </w:r>
    </w:p>
    <w:p>
      <w:pPr>
        <w:spacing w:after="0" w:line="61" w:lineRule="exact"/>
        <w:rPr>
          <w:rFonts w:ascii="Arial" w:cs="Arial" w:eastAsia="Arial" w:hAnsi="Arial"/>
          <w:sz w:val="18"/>
          <w:szCs w:val="18"/>
          <w:color w:val="auto"/>
        </w:rPr>
      </w:pPr>
    </w:p>
    <w:p>
      <w:pPr>
        <w:ind w:left="800" w:right="720" w:hanging="401"/>
        <w:spacing w:after="0" w:line="29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construction of new assets may not result in revenue increases and will be subject to regulatory, environmental, political, legal and economic risks, which could materially adversely affect our operational and financial results.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own all of the land on which our pipelines and facilities are located, which could result in disruptions to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Financing</w:t>
      </w:r>
    </w:p>
    <w:p>
      <w:pPr>
        <w:spacing w:after="0" w:line="131" w:lineRule="exact"/>
        <w:rPr>
          <w:sz w:val="20"/>
          <w:szCs w:val="20"/>
          <w:color w:val="auto"/>
        </w:rPr>
      </w:pPr>
    </w:p>
    <w:p>
      <w:pPr>
        <w:ind w:left="800" w:hanging="401"/>
        <w:spacing w:after="0" w:line="29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access to and/or availability of the commercial bank market, debt and equity capital markets could impair our ability to grow or cause us to be unable to meet future capital requirements.</w:t>
      </w:r>
    </w:p>
    <w:p>
      <w:pPr>
        <w:spacing w:after="0" w:line="61" w:lineRule="exact"/>
        <w:rPr>
          <w:rFonts w:ascii="Arial" w:cs="Arial" w:eastAsia="Arial" w:hAnsi="Arial"/>
          <w:sz w:val="18"/>
          <w:szCs w:val="18"/>
          <w:color w:val="auto"/>
        </w:rPr>
      </w:pPr>
    </w:p>
    <w:p>
      <w:pPr>
        <w:ind w:left="800" w:right="80" w:hanging="401"/>
        <w:spacing w:after="0" w:line="29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significant amount of indebtedness. Our leverage and debt service obligations may adversely affect our financial condition, results of operations and business prospects, and may limit our flexibility to obtain financing.</w:t>
      </w:r>
    </w:p>
    <w:p>
      <w:pPr>
        <w:spacing w:after="0" w:line="61" w:lineRule="exact"/>
        <w:rPr>
          <w:rFonts w:ascii="Arial" w:cs="Arial" w:eastAsia="Arial" w:hAnsi="Arial"/>
          <w:sz w:val="18"/>
          <w:szCs w:val="18"/>
          <w:color w:val="auto"/>
        </w:rPr>
      </w:pPr>
    </w:p>
    <w:p>
      <w:pPr>
        <w:ind w:left="800" w:right="820" w:hanging="401"/>
        <w:spacing w:after="0" w:line="29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or to refinance, which may not be successful.</w:t>
      </w:r>
    </w:p>
    <w:p>
      <w:pPr>
        <w:spacing w:after="0" w:line="61"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portion of our revenues are directly exposed to changes in crude oil, natural gas and NGL prices, and our exposure may increase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Environmental Policy Risks</w:t>
      </w:r>
    </w:p>
    <w:p>
      <w:pPr>
        <w:spacing w:after="0" w:line="131" w:lineRule="exact"/>
        <w:rPr>
          <w:sz w:val="20"/>
          <w:szCs w:val="20"/>
          <w:color w:val="auto"/>
        </w:rPr>
      </w:pPr>
    </w:p>
    <w:p>
      <w:pPr>
        <w:ind w:left="800" w:right="740" w:hanging="401"/>
        <w:spacing w:after="0" w:line="359"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under investigation by federal and state regulatory agencies over a pipeline rupture and release of produced water by one of our subsidiaries. The resolution of this matter could have a material adverse effect on our results of operations or cash flows.</w:t>
      </w:r>
    </w:p>
    <w:p>
      <w:pPr>
        <w:spacing w:after="0" w:line="16" w:lineRule="exact"/>
        <w:rPr>
          <w:rFonts w:ascii="Arial" w:cs="Arial" w:eastAsia="Arial" w:hAnsi="Arial"/>
          <w:sz w:val="16"/>
          <w:szCs w:val="16"/>
          <w:color w:val="auto"/>
        </w:rPr>
      </w:pPr>
    </w:p>
    <w:p>
      <w:pPr>
        <w:ind w:left="800" w:right="280" w:hanging="401"/>
        <w:spacing w:after="0" w:line="324"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spacing w:after="0" w:line="39" w:lineRule="exact"/>
        <w:rPr>
          <w:rFonts w:ascii="Arial" w:cs="Arial" w:eastAsia="Arial" w:hAnsi="Arial"/>
          <w:sz w:val="17"/>
          <w:szCs w:val="17"/>
          <w:color w:val="auto"/>
        </w:rPr>
      </w:pPr>
    </w:p>
    <w:p>
      <w:pPr>
        <w:ind w:left="800" w:right="300" w:hanging="401"/>
        <w:spacing w:after="0" w:line="29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61" w:lineRule="exact"/>
        <w:rPr>
          <w:rFonts w:ascii="Arial" w:cs="Arial" w:eastAsia="Arial" w:hAnsi="Arial"/>
          <w:sz w:val="18"/>
          <w:szCs w:val="18"/>
          <w:color w:val="auto"/>
        </w:rPr>
      </w:pPr>
    </w:p>
    <w:p>
      <w:pPr>
        <w:ind w:left="800" w:right="20" w:hanging="401"/>
        <w:spacing w:after="0" w:line="29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regulation of hydraulic fracturing could result in reductions or delays in customer production, which could materially adversely impact our revenues.</w:t>
      </w:r>
    </w:p>
    <w:p>
      <w:pPr>
        <w:spacing w:after="0" w:line="61" w:lineRule="exact"/>
        <w:rPr>
          <w:rFonts w:ascii="Arial" w:cs="Arial" w:eastAsia="Arial" w:hAnsi="Arial"/>
          <w:sz w:val="18"/>
          <w:szCs w:val="18"/>
          <w:color w:val="auto"/>
        </w:rPr>
      </w:pPr>
    </w:p>
    <w:p>
      <w:pPr>
        <w:jc w:val="both"/>
        <w:ind w:left="800" w:right="220" w:hanging="401"/>
        <w:spacing w:after="0" w:line="27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74"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stringent environmental laws and regulations that may expose us to significant costs and liabilities.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face opposition to the development, permitting, construction or operation of our pipelines and facilities from various groups.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an Investment in Us</w:t>
      </w:r>
    </w:p>
    <w:p>
      <w:pPr>
        <w:spacing w:after="0" w:line="131" w:lineRule="exact"/>
        <w:rPr>
          <w:sz w:val="20"/>
          <w:szCs w:val="20"/>
          <w:color w:val="auto"/>
        </w:rPr>
      </w:pPr>
    </w:p>
    <w:p>
      <w:pPr>
        <w:ind w:left="800" w:right="40" w:hanging="401"/>
        <w:spacing w:after="0" w:line="29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our common units are yield-oriented securities, increases in interest rates could materially adversely impact our unit price, our ability to issue equity or incur debt and our ability to make cash distributions to our unitholders.</w:t>
      </w:r>
    </w:p>
    <w:p>
      <w:pPr>
        <w:spacing w:after="0" w:line="61" w:lineRule="exact"/>
        <w:rPr>
          <w:rFonts w:ascii="Arial" w:cs="Arial" w:eastAsia="Arial" w:hAnsi="Arial"/>
          <w:sz w:val="18"/>
          <w:szCs w:val="18"/>
          <w:color w:val="auto"/>
        </w:rPr>
      </w:pPr>
    </w:p>
    <w:p>
      <w:pPr>
        <w:ind w:left="800" w:right="80" w:hanging="401"/>
        <w:spacing w:after="0" w:line="29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units may fluctuate significantly and, due to limited daily trading volumes, an investor could lose all or part of its investment in us.</w:t>
      </w:r>
    </w:p>
    <w:p>
      <w:pPr>
        <w:spacing w:after="0" w:line="61"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issue additional units without unitholder approval, which would dilute existing ownership interests.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Risks</w:t>
      </w:r>
    </w:p>
    <w:p>
      <w:pPr>
        <w:spacing w:after="0" w:line="131" w:lineRule="exact"/>
        <w:rPr>
          <w:sz w:val="20"/>
          <w:szCs w:val="20"/>
          <w:color w:val="auto"/>
        </w:rPr>
      </w:pPr>
    </w:p>
    <w:p>
      <w:pPr>
        <w:ind w:left="800" w:right="140" w:hanging="401"/>
        <w:spacing w:after="0" w:line="27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tax treatment depends on our status as a partnership for federal income tax purposes. If the IRS were to treat us as a corporation for federal income tax purposes, which would subject us to entity-level taxation, then our cash available for distribution to our unitholders would be substantially reduced.</w:t>
      </w:r>
    </w:p>
    <w:p>
      <w:pPr>
        <w:spacing w:after="0" w:line="74" w:lineRule="exact"/>
        <w:rPr>
          <w:rFonts w:ascii="Arial" w:cs="Arial" w:eastAsia="Arial" w:hAnsi="Arial"/>
          <w:sz w:val="18"/>
          <w:szCs w:val="18"/>
          <w:color w:val="auto"/>
        </w:rPr>
      </w:pPr>
    </w:p>
    <w:p>
      <w:pPr>
        <w:ind w:left="800" w:right="60" w:hanging="401"/>
        <w:spacing w:after="0" w:line="29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61" w:lineRule="exact"/>
        <w:rPr>
          <w:rFonts w:ascii="Arial" w:cs="Arial" w:eastAsia="Arial" w:hAnsi="Arial"/>
          <w:sz w:val="18"/>
          <w:szCs w:val="18"/>
          <w:color w:val="auto"/>
        </w:rPr>
      </w:pPr>
    </w:p>
    <w:p>
      <w:pPr>
        <w:ind w:left="800" w:right="40" w:hanging="401"/>
        <w:spacing w:after="0" w:line="275"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engaged in recent transactions that generated substantial cancellation of debt (“COD”) income on a per unit basis relative to the trading price of our common units. We may engage in other transactions that result in substantial COD income or other gains in the future, and such events may cause a unitholder to be allocated income with respect to our units with no corresponding distribution of cash to fund the payment of the resulting tax liability to the unitholder.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ORGANIZATIONAL CHART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provides a summarized view of our legal entity structure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260985</wp:posOffset>
            </wp:positionV>
            <wp:extent cx="5846445" cy="3411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644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580" w:type="dxa"/>
            <w:vAlign w:val="bottom"/>
          </w:tcPr>
          <w:p>
            <w:pPr>
              <w:spacing w:after="0"/>
              <w:rPr>
                <w:sz w:val="24"/>
                <w:szCs w:val="24"/>
                <w:color w:val="auto"/>
              </w:rPr>
            </w:pPr>
          </w:p>
        </w:tc>
        <w:tc>
          <w:tcPr>
            <w:tcW w:w="8660" w:type="dxa"/>
            <w:vAlign w:val="bottom"/>
          </w:tcPr>
          <w:p>
            <w:pPr>
              <w:ind w:left="940"/>
              <w:spacing w:after="0"/>
              <w:rPr>
                <w:sz w:val="20"/>
                <w:szCs w:val="20"/>
                <w:color w:val="auto"/>
              </w:rPr>
            </w:pPr>
            <w:r>
              <w:rPr>
                <w:rFonts w:ascii="Arial" w:cs="Arial" w:eastAsia="Arial" w:hAnsi="Arial"/>
                <w:sz w:val="22"/>
                <w:szCs w:val="22"/>
                <w:b w:val="1"/>
                <w:bCs w:val="1"/>
                <w:color w:val="auto"/>
              </w:rPr>
              <w:t>COMMONLY USED OR DEFINED TERMS</w:t>
            </w:r>
          </w:p>
        </w:tc>
        <w:tc>
          <w:tcPr>
            <w:tcW w:w="0" w:type="dxa"/>
            <w:vAlign w:val="bottom"/>
          </w:tcPr>
          <w:p>
            <w:pPr>
              <w:spacing w:after="0"/>
              <w:rPr>
                <w:sz w:val="1"/>
                <w:szCs w:val="1"/>
                <w:color w:val="auto"/>
              </w:rPr>
            </w:pPr>
          </w:p>
        </w:tc>
      </w:tr>
      <w:tr>
        <w:trPr>
          <w:trHeight w:val="125"/>
        </w:trPr>
        <w:tc>
          <w:tcPr>
            <w:tcW w:w="258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Drop Down</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of (i) the issued and outstanding membership interests in Summit Utica,</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Meadowlark Midstream and Tioga Midstream and (ii) SMP Holdings’ 40%</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ownership interest in Ohio Gathering</w:t>
            </w:r>
          </w:p>
        </w:tc>
        <w:tc>
          <w:tcPr>
            <w:tcW w:w="0" w:type="dxa"/>
            <w:vAlign w:val="bottom"/>
          </w:tcPr>
          <w:p>
            <w:pPr>
              <w:spacing w:after="0"/>
              <w:rPr>
                <w:sz w:val="1"/>
                <w:szCs w:val="1"/>
                <w:color w:val="auto"/>
              </w:rPr>
            </w:pPr>
          </w:p>
        </w:tc>
      </w:tr>
      <w:tr>
        <w:trPr>
          <w:trHeight w:val="215"/>
        </w:trPr>
        <w:tc>
          <w:tcPr>
            <w:tcW w:w="2580" w:type="dxa"/>
            <w:vAlign w:val="bottom"/>
          </w:tcPr>
          <w:p>
            <w:pPr>
              <w:ind w:left="380"/>
              <w:spacing w:after="0"/>
              <w:rPr>
                <w:sz w:val="20"/>
                <w:szCs w:val="20"/>
                <w:color w:val="auto"/>
              </w:rPr>
            </w:pPr>
            <w:r>
              <w:rPr>
                <w:rFonts w:ascii="Arial" w:cs="Arial" w:eastAsia="Arial" w:hAnsi="Arial"/>
                <w:sz w:val="18"/>
                <w:szCs w:val="18"/>
                <w:color w:val="auto"/>
              </w:rPr>
              <w:t>2022 Senior Notes</w:t>
            </w:r>
          </w:p>
        </w:tc>
        <w:tc>
          <w:tcPr>
            <w:tcW w:w="8660" w:type="dxa"/>
            <w:vAlign w:val="bottom"/>
          </w:tcPr>
          <w:p>
            <w:pPr>
              <w:ind w:left="440"/>
              <w:spacing w:after="0"/>
              <w:rPr>
                <w:sz w:val="20"/>
                <w:szCs w:val="20"/>
                <w:color w:val="auto"/>
              </w:rPr>
            </w:pPr>
            <w:r>
              <w:rPr>
                <w:rFonts w:ascii="Arial" w:cs="Arial" w:eastAsia="Arial" w:hAnsi="Arial"/>
                <w:sz w:val="18"/>
                <w:szCs w:val="18"/>
                <w:color w:val="auto"/>
              </w:rPr>
              <w:t>Summit Holdings' and Finance Corp.’s 5.5% senior unsecured notes due August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2025 Senior Notes</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Summit Holdings' and Finance Corp.’s 5.75% senior unsecured notes due April</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5"/>
        </w:trPr>
        <w:tc>
          <w:tcPr>
            <w:tcW w:w="2580" w:type="dxa"/>
            <w:vAlign w:val="bottom"/>
          </w:tcPr>
          <w:p>
            <w:pPr>
              <w:ind w:left="380"/>
              <w:spacing w:after="0"/>
              <w:rPr>
                <w:sz w:val="20"/>
                <w:szCs w:val="20"/>
                <w:color w:val="auto"/>
              </w:rPr>
            </w:pPr>
            <w:r>
              <w:rPr>
                <w:rFonts w:ascii="Arial" w:cs="Arial" w:eastAsia="Arial" w:hAnsi="Arial"/>
                <w:sz w:val="18"/>
                <w:szCs w:val="18"/>
                <w:color w:val="auto"/>
              </w:rPr>
              <w:t>AMI</w:t>
            </w:r>
          </w:p>
        </w:tc>
        <w:tc>
          <w:tcPr>
            <w:tcW w:w="8660" w:type="dxa"/>
            <w:vAlign w:val="bottom"/>
          </w:tcPr>
          <w:p>
            <w:pPr>
              <w:ind w:left="440"/>
              <w:spacing w:after="0"/>
              <w:rPr>
                <w:sz w:val="20"/>
                <w:szCs w:val="20"/>
                <w:color w:val="auto"/>
              </w:rPr>
            </w:pPr>
            <w:r>
              <w:rPr>
                <w:rFonts w:ascii="Arial" w:cs="Arial" w:eastAsia="Arial" w:hAnsi="Arial"/>
                <w:sz w:val="18"/>
                <w:szCs w:val="18"/>
                <w:color w:val="auto"/>
              </w:rPr>
              <w:t>area of mutual interest; AMIs require that any production from wells drilled by our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customers within the AMI be shipped on and/or processed by our gathering</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associated natural gas</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 form of natural gas which is found with deposits of petroleum, either dissolved</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 the crude oil or as a free gas cap above the crude oil in the reservoir</w:t>
            </w:r>
          </w:p>
        </w:tc>
        <w:tc>
          <w:tcPr>
            <w:tcW w:w="0" w:type="dxa"/>
            <w:vAlign w:val="bottom"/>
          </w:tcPr>
          <w:p>
            <w:pPr>
              <w:spacing w:after="0"/>
              <w:rPr>
                <w:sz w:val="1"/>
                <w:szCs w:val="1"/>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ASC</w:t>
            </w:r>
          </w:p>
        </w:tc>
        <w:tc>
          <w:tcPr>
            <w:tcW w:w="8660" w:type="dxa"/>
            <w:vAlign w:val="bottom"/>
          </w:tcPr>
          <w:p>
            <w:pPr>
              <w:ind w:left="44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Audit Committee</w:t>
            </w:r>
          </w:p>
        </w:tc>
        <w:tc>
          <w:tcPr>
            <w:tcW w:w="8660" w:type="dxa"/>
            <w:vAlign w:val="bottom"/>
          </w:tcPr>
          <w:p>
            <w:pPr>
              <w:ind w:left="440"/>
              <w:spacing w:after="0"/>
              <w:rPr>
                <w:sz w:val="20"/>
                <w:szCs w:val="20"/>
                <w:color w:val="auto"/>
              </w:rPr>
            </w:pPr>
            <w:r>
              <w:rPr>
                <w:rFonts w:ascii="Arial" w:cs="Arial" w:eastAsia="Arial" w:hAnsi="Arial"/>
                <w:sz w:val="18"/>
                <w:szCs w:val="18"/>
                <w:color w:val="auto"/>
              </w:rPr>
              <w:t>the audit committee of the Board of Directors</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Bbl</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Bcf</w:t>
            </w:r>
          </w:p>
        </w:tc>
        <w:tc>
          <w:tcPr>
            <w:tcW w:w="8660" w:type="dxa"/>
            <w:vAlign w:val="bottom"/>
          </w:tcPr>
          <w:p>
            <w:pPr>
              <w:ind w:left="440"/>
              <w:spacing w:after="0"/>
              <w:rPr>
                <w:sz w:val="20"/>
                <w:szCs w:val="20"/>
                <w:color w:val="auto"/>
              </w:rPr>
            </w:pPr>
            <w:r>
              <w:rPr>
                <w:rFonts w:ascii="Arial" w:cs="Arial" w:eastAsia="Arial" w:hAnsi="Arial"/>
                <w:sz w:val="18"/>
                <w:szCs w:val="18"/>
                <w:color w:val="auto"/>
              </w:rPr>
              <w:t>one billion cubic feet</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Bcfe/d</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equivalent of one billion cubic feet per day; generally calculated when liquids are</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converted into natural gas; determined using a ratio of six thousand cubic feet of</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natural gas to one barrel of liquids</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660" w:type="dxa"/>
            <w:vAlign w:val="bottom"/>
          </w:tcPr>
          <w:p>
            <w:pPr>
              <w:ind w:left="440"/>
              <w:spacing w:after="0"/>
              <w:rPr>
                <w:sz w:val="20"/>
                <w:szCs w:val="20"/>
                <w:color w:val="auto"/>
              </w:rPr>
            </w:pPr>
            <w:r>
              <w:rPr>
                <w:rFonts w:ascii="Arial" w:cs="Arial" w:eastAsia="Arial" w:hAnsi="Arial"/>
                <w:sz w:val="18"/>
                <w:szCs w:val="18"/>
                <w:color w:val="auto"/>
              </w:rPr>
              <w:t>Bison Midstream, LLC</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board of directors of our General Partner</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CAA</w:t>
            </w:r>
          </w:p>
        </w:tc>
        <w:tc>
          <w:tcPr>
            <w:tcW w:w="8660" w:type="dxa"/>
            <w:vAlign w:val="bottom"/>
          </w:tcPr>
          <w:p>
            <w:pPr>
              <w:ind w:left="440"/>
              <w:spacing w:after="0"/>
              <w:rPr>
                <w:sz w:val="20"/>
                <w:szCs w:val="20"/>
                <w:color w:val="auto"/>
              </w:rPr>
            </w:pPr>
            <w:r>
              <w:rPr>
                <w:rFonts w:ascii="Arial" w:cs="Arial" w:eastAsia="Arial" w:hAnsi="Arial"/>
                <w:sz w:val="18"/>
                <w:szCs w:val="18"/>
                <w:color w:val="auto"/>
              </w:rPr>
              <w:t>Clean Air Act</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CEA</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Commodity Exchange Act</w:t>
            </w:r>
          </w:p>
        </w:tc>
        <w:tc>
          <w:tcPr>
            <w:tcW w:w="0" w:type="dxa"/>
            <w:vAlign w:val="bottom"/>
          </w:tcPr>
          <w:p>
            <w:pPr>
              <w:spacing w:after="0"/>
              <w:rPr>
                <w:sz w:val="1"/>
                <w:szCs w:val="1"/>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CERCLA</w:t>
            </w:r>
          </w:p>
        </w:tc>
        <w:tc>
          <w:tcPr>
            <w:tcW w:w="8660" w:type="dxa"/>
            <w:vAlign w:val="bottom"/>
          </w:tcPr>
          <w:p>
            <w:pPr>
              <w:ind w:left="440"/>
              <w:spacing w:after="0"/>
              <w:rPr>
                <w:sz w:val="20"/>
                <w:szCs w:val="20"/>
                <w:color w:val="auto"/>
              </w:rPr>
            </w:pPr>
            <w:r>
              <w:rPr>
                <w:rFonts w:ascii="Arial" w:cs="Arial" w:eastAsia="Arial" w:hAnsi="Arial"/>
                <w:sz w:val="18"/>
                <w:szCs w:val="18"/>
                <w:color w:val="auto"/>
              </w:rPr>
              <w:t>Comprehensive Environmental Response, Compensation and Liability Act</w:t>
            </w: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CFTC</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Commodity Futures Trading Commission</w:t>
            </w:r>
          </w:p>
        </w:tc>
        <w:tc>
          <w:tcPr>
            <w:tcW w:w="0" w:type="dxa"/>
            <w:vAlign w:val="bottom"/>
          </w:tcPr>
          <w:p>
            <w:pPr>
              <w:spacing w:after="0"/>
              <w:rPr>
                <w:sz w:val="1"/>
                <w:szCs w:val="1"/>
                <w:color w:val="auto"/>
              </w:rPr>
            </w:pPr>
          </w:p>
        </w:tc>
      </w:tr>
      <w:tr>
        <w:trPr>
          <w:trHeight w:val="215"/>
        </w:trPr>
        <w:tc>
          <w:tcPr>
            <w:tcW w:w="258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8660" w:type="dxa"/>
            <w:vAlign w:val="bottom"/>
            <w:vMerge w:val="restart"/>
          </w:tcPr>
          <w:p>
            <w:pPr>
              <w:ind w:left="440"/>
              <w:spacing w:after="0"/>
              <w:rPr>
                <w:sz w:val="20"/>
                <w:szCs w:val="20"/>
                <w:color w:val="auto"/>
              </w:rPr>
            </w:pPr>
            <w:r>
              <w:rPr>
                <w:rFonts w:ascii="Arial" w:cs="Arial" w:eastAsia="Arial" w:hAnsi="Arial"/>
                <w:sz w:val="18"/>
                <w:szCs w:val="18"/>
                <w:color w:val="auto"/>
              </w:rPr>
              <w:t>the compensation committee of the Board of Directors</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560"/>
              <w:spacing w:after="0"/>
              <w:rPr>
                <w:sz w:val="20"/>
                <w:szCs w:val="20"/>
                <w:color w:val="auto"/>
              </w:rPr>
            </w:pPr>
            <w:r>
              <w:rPr>
                <w:rFonts w:ascii="Arial" w:cs="Arial" w:eastAsia="Arial" w:hAnsi="Arial"/>
                <w:sz w:val="18"/>
                <w:szCs w:val="18"/>
                <w:color w:val="auto"/>
              </w:rPr>
              <w:t>Committee</w:t>
            </w: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8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w:t>
            </w:r>
          </w:p>
        </w:tc>
        <w:tc>
          <w:tcPr>
            <w:tcW w:w="8660" w:type="dxa"/>
            <w:vAlign w:val="bottom"/>
            <w:vMerge w:val="restart"/>
            <w:shd w:val="clear" w:color="auto" w:fill="CFF0FC"/>
          </w:tcPr>
          <w:p>
            <w:pPr>
              <w:ind w:left="440"/>
              <w:spacing w:after="0"/>
              <w:rPr>
                <w:sz w:val="20"/>
                <w:szCs w:val="20"/>
                <w:color w:val="auto"/>
              </w:rPr>
            </w:pPr>
            <w:r>
              <w:rPr>
                <w:rFonts w:ascii="Arial" w:cs="Arial" w:eastAsia="Arial" w:hAnsi="Arial"/>
                <w:sz w:val="18"/>
                <w:szCs w:val="18"/>
                <w:color w:val="auto"/>
              </w:rPr>
              <w:t>Willis Towers Watson</w:t>
            </w:r>
          </w:p>
        </w:tc>
        <w:tc>
          <w:tcPr>
            <w:tcW w:w="0" w:type="dxa"/>
            <w:vAlign w:val="bottom"/>
          </w:tcPr>
          <w:p>
            <w:pPr>
              <w:spacing w:after="0"/>
              <w:rPr>
                <w:sz w:val="1"/>
                <w:szCs w:val="1"/>
                <w:color w:val="auto"/>
              </w:rPr>
            </w:pPr>
          </w:p>
        </w:tc>
      </w:tr>
      <w:tr>
        <w:trPr>
          <w:trHeight w:val="122"/>
        </w:trPr>
        <w:tc>
          <w:tcPr>
            <w:tcW w:w="2580" w:type="dxa"/>
            <w:vAlign w:val="bottom"/>
            <w:vMerge w:val="restart"/>
            <w:shd w:val="clear" w:color="auto" w:fill="CFF0FC"/>
          </w:tcPr>
          <w:p>
            <w:pPr>
              <w:ind w:left="560"/>
              <w:spacing w:after="0"/>
              <w:rPr>
                <w:sz w:val="20"/>
                <w:szCs w:val="20"/>
                <w:color w:val="auto"/>
              </w:rPr>
            </w:pPr>
            <w:r>
              <w:rPr>
                <w:rFonts w:ascii="Arial" w:cs="Arial" w:eastAsia="Arial" w:hAnsi="Arial"/>
                <w:sz w:val="18"/>
                <w:szCs w:val="18"/>
                <w:color w:val="auto"/>
              </w:rPr>
              <w:t>Consultant</w:t>
            </w:r>
          </w:p>
        </w:tc>
        <w:tc>
          <w:tcPr>
            <w:tcW w:w="86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shd w:val="clear" w:color="auto" w:fill="CFF0FC"/>
          </w:tcPr>
          <w:p>
            <w:pPr>
              <w:spacing w:after="0"/>
              <w:rPr>
                <w:sz w:val="9"/>
                <w:szCs w:val="9"/>
                <w:color w:val="auto"/>
              </w:rPr>
            </w:pPr>
          </w:p>
        </w:tc>
        <w:tc>
          <w:tcPr>
            <w:tcW w:w="86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380"/>
              <w:spacing w:after="0"/>
              <w:rPr>
                <w:sz w:val="20"/>
                <w:szCs w:val="20"/>
                <w:color w:val="auto"/>
              </w:rPr>
            </w:pPr>
            <w:r>
              <w:rPr>
                <w:rFonts w:ascii="Arial" w:cs="Arial" w:eastAsia="Arial" w:hAnsi="Arial"/>
                <w:sz w:val="18"/>
                <w:szCs w:val="18"/>
                <w:color w:val="auto"/>
              </w:rPr>
              <w:t>condensate</w:t>
            </w:r>
          </w:p>
        </w:tc>
        <w:tc>
          <w:tcPr>
            <w:tcW w:w="8660" w:type="dxa"/>
            <w:vAlign w:val="bottom"/>
          </w:tcPr>
          <w:p>
            <w:pPr>
              <w:ind w:left="44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pentane and heavier hydrocarbon fractions</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Conflicts Committee</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conflicts committee of the Board of Directors</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CWA</w:t>
            </w:r>
          </w:p>
        </w:tc>
        <w:tc>
          <w:tcPr>
            <w:tcW w:w="8660" w:type="dxa"/>
            <w:vAlign w:val="bottom"/>
          </w:tcPr>
          <w:p>
            <w:pPr>
              <w:ind w:left="440"/>
              <w:spacing w:after="0"/>
              <w:rPr>
                <w:sz w:val="20"/>
                <w:szCs w:val="20"/>
                <w:color w:val="auto"/>
              </w:rPr>
            </w:pPr>
            <w:r>
              <w:rPr>
                <w:rFonts w:ascii="Arial" w:cs="Arial" w:eastAsia="Arial" w:hAnsi="Arial"/>
                <w:sz w:val="18"/>
                <w:szCs w:val="18"/>
                <w:color w:val="auto"/>
              </w:rPr>
              <w:t>Clean Water Act</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deferred payment liability recognized in connection with the 2016 Drop Down, as</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Obligation</w:t>
            </w: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subsequently amended; also referred to as DPPO</w:t>
            </w:r>
          </w:p>
        </w:tc>
        <w:tc>
          <w:tcPr>
            <w:tcW w:w="0" w:type="dxa"/>
            <w:vAlign w:val="bottom"/>
          </w:tcPr>
          <w:p>
            <w:pPr>
              <w:spacing w:after="0"/>
              <w:rPr>
                <w:sz w:val="1"/>
                <w:szCs w:val="1"/>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660" w:type="dxa"/>
            <w:vAlign w:val="bottom"/>
          </w:tcPr>
          <w:p>
            <w:pPr>
              <w:ind w:left="440"/>
              <w:spacing w:after="0"/>
              <w:rPr>
                <w:sz w:val="20"/>
                <w:szCs w:val="20"/>
                <w:color w:val="auto"/>
              </w:rPr>
            </w:pPr>
            <w:r>
              <w:rPr>
                <w:rFonts w:ascii="Arial" w:cs="Arial" w:eastAsia="Arial" w:hAnsi="Arial"/>
                <w:sz w:val="18"/>
                <w:szCs w:val="18"/>
                <w:color w:val="auto"/>
              </w:rPr>
              <w:t>DFW Midstream Services LLC</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Denver-Julesburg Basin</w:t>
            </w:r>
          </w:p>
        </w:tc>
        <w:tc>
          <w:tcPr>
            <w:tcW w:w="0" w:type="dxa"/>
            <w:vAlign w:val="bottom"/>
          </w:tcPr>
          <w:p>
            <w:pPr>
              <w:spacing w:after="0"/>
              <w:rPr>
                <w:sz w:val="1"/>
                <w:szCs w:val="1"/>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Dodd-Frank Act</w:t>
            </w:r>
          </w:p>
        </w:tc>
        <w:tc>
          <w:tcPr>
            <w:tcW w:w="8660" w:type="dxa"/>
            <w:vAlign w:val="bottom"/>
          </w:tcPr>
          <w:p>
            <w:pPr>
              <w:ind w:left="440"/>
              <w:spacing w:after="0"/>
              <w:rPr>
                <w:sz w:val="20"/>
                <w:szCs w:val="20"/>
                <w:color w:val="auto"/>
              </w:rPr>
            </w:pPr>
            <w:r>
              <w:rPr>
                <w:rFonts w:ascii="Arial" w:cs="Arial" w:eastAsia="Arial" w:hAnsi="Arial"/>
                <w:sz w:val="18"/>
                <w:szCs w:val="18"/>
                <w:color w:val="auto"/>
              </w:rPr>
              <w:t>Dodd-Frank Wall Street Reform and Consumer Protection Act of 2010</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DOT</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U.S. Department of Transportation</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660" w:type="dxa"/>
            <w:vAlign w:val="bottom"/>
          </w:tcPr>
          <w:p>
            <w:pPr>
              <w:ind w:left="440"/>
              <w:spacing w:after="0"/>
              <w:rPr>
                <w:sz w:val="20"/>
                <w:szCs w:val="20"/>
                <w:color w:val="auto"/>
              </w:rPr>
            </w:pPr>
            <w:r>
              <w:rPr>
                <w:rFonts w:ascii="Arial" w:cs="Arial" w:eastAsia="Arial" w:hAnsi="Arial"/>
                <w:sz w:val="18"/>
                <w:szCs w:val="18"/>
                <w:color w:val="auto"/>
              </w:rPr>
              <w:t>Double E Pipeline, LLC</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Double E Project</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the development and construction of a long-haul natural gas pipeline with an</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initial throughput capacity of 1.35 billion cubic feet per day that will provide</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transportation service from multiple receipt points in the Delaware Basin</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 various delivery points in and around the Waha Hub in Texas</w:t>
            </w:r>
          </w:p>
        </w:tc>
        <w:tc>
          <w:tcPr>
            <w:tcW w:w="0" w:type="dxa"/>
            <w:vAlign w:val="bottom"/>
          </w:tcPr>
          <w:p>
            <w:pPr>
              <w:spacing w:after="0"/>
              <w:rPr>
                <w:sz w:val="1"/>
                <w:szCs w:val="1"/>
                <w:color w:val="auto"/>
              </w:rPr>
            </w:pPr>
          </w:p>
        </w:tc>
      </w:tr>
      <w:tr>
        <w:trPr>
          <w:trHeight w:val="215"/>
        </w:trPr>
        <w:tc>
          <w:tcPr>
            <w:tcW w:w="2580" w:type="dxa"/>
            <w:vAlign w:val="bottom"/>
          </w:tcPr>
          <w:p>
            <w:pPr>
              <w:ind w:left="380"/>
              <w:spacing w:after="0"/>
              <w:rPr>
                <w:sz w:val="20"/>
                <w:szCs w:val="20"/>
                <w:color w:val="auto"/>
              </w:rPr>
            </w:pPr>
            <w:r>
              <w:rPr>
                <w:rFonts w:ascii="Arial" w:cs="Arial" w:eastAsia="Arial" w:hAnsi="Arial"/>
                <w:sz w:val="18"/>
                <w:szCs w:val="18"/>
                <w:color w:val="auto"/>
              </w:rPr>
              <w:t>dry gas</w:t>
            </w:r>
          </w:p>
        </w:tc>
        <w:tc>
          <w:tcPr>
            <w:tcW w:w="8660" w:type="dxa"/>
            <w:vAlign w:val="bottom"/>
          </w:tcPr>
          <w:p>
            <w:pPr>
              <w:ind w:left="440"/>
              <w:spacing w:after="0"/>
              <w:rPr>
                <w:sz w:val="20"/>
                <w:szCs w:val="20"/>
                <w:color w:val="auto"/>
              </w:rPr>
            </w:pPr>
            <w:r>
              <w:rPr>
                <w:rFonts w:ascii="Arial" w:cs="Arial" w:eastAsia="Arial" w:hAnsi="Arial"/>
                <w:sz w:val="18"/>
                <w:szCs w:val="18"/>
                <w:color w:val="auto"/>
              </w:rPr>
              <w:t>natural gas primarily composed of methane where heavy hydrocarbons and water</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either do not exist or have been removed through processing or treating</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Energy Capital Partners</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Energy Capital Partners II, LLC and its parallel and co-investment funds</w:t>
            </w:r>
          </w:p>
        </w:tc>
        <w:tc>
          <w:tcPr>
            <w:tcW w:w="0" w:type="dxa"/>
            <w:vAlign w:val="bottom"/>
          </w:tcPr>
          <w:p>
            <w:pPr>
              <w:spacing w:after="0"/>
              <w:rPr>
                <w:sz w:val="1"/>
                <w:szCs w:val="1"/>
                <w:color w:val="auto"/>
              </w:rPr>
            </w:pPr>
          </w:p>
        </w:tc>
      </w:tr>
      <w:tr>
        <w:trPr>
          <w:trHeight w:val="229"/>
        </w:trPr>
        <w:tc>
          <w:tcPr>
            <w:tcW w:w="2580" w:type="dxa"/>
            <w:vAlign w:val="bottom"/>
          </w:tcPr>
          <w:p>
            <w:pPr>
              <w:ind w:left="380"/>
              <w:spacing w:after="0"/>
              <w:rPr>
                <w:sz w:val="20"/>
                <w:szCs w:val="20"/>
                <w:color w:val="auto"/>
              </w:rPr>
            </w:pPr>
            <w:r>
              <w:rPr>
                <w:rFonts w:ascii="Arial" w:cs="Arial" w:eastAsia="Arial" w:hAnsi="Arial"/>
                <w:sz w:val="18"/>
                <w:szCs w:val="18"/>
                <w:color w:val="auto"/>
              </w:rPr>
              <w:t>EPA</w:t>
            </w:r>
          </w:p>
        </w:tc>
        <w:tc>
          <w:tcPr>
            <w:tcW w:w="8660" w:type="dxa"/>
            <w:vAlign w:val="bottom"/>
          </w:tcPr>
          <w:p>
            <w:pPr>
              <w:ind w:left="440"/>
              <w:spacing w:after="0"/>
              <w:rPr>
                <w:sz w:val="20"/>
                <w:szCs w:val="20"/>
                <w:color w:val="auto"/>
              </w:rPr>
            </w:pPr>
            <w:r>
              <w:rPr>
                <w:rFonts w:ascii="Arial" w:cs="Arial" w:eastAsia="Arial" w:hAnsi="Arial"/>
                <w:sz w:val="18"/>
                <w:szCs w:val="18"/>
                <w:color w:val="auto"/>
              </w:rPr>
              <w:t>Environmental Protection Agency</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Epping</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Epping Transmission Company, LLC</w:t>
            </w:r>
          </w:p>
        </w:tc>
        <w:tc>
          <w:tcPr>
            <w:tcW w:w="0" w:type="dxa"/>
            <w:vAlign w:val="bottom"/>
          </w:tcPr>
          <w:p>
            <w:pPr>
              <w:spacing w:after="0"/>
              <w:rPr>
                <w:sz w:val="1"/>
                <w:szCs w:val="1"/>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EPU</w:t>
            </w:r>
          </w:p>
        </w:tc>
        <w:tc>
          <w:tcPr>
            <w:tcW w:w="8660" w:type="dxa"/>
            <w:vAlign w:val="bottom"/>
          </w:tcPr>
          <w:p>
            <w:pPr>
              <w:ind w:left="440"/>
              <w:spacing w:after="0"/>
              <w:rPr>
                <w:sz w:val="20"/>
                <w:szCs w:val="20"/>
                <w:color w:val="auto"/>
              </w:rPr>
            </w:pPr>
            <w:r>
              <w:rPr>
                <w:rFonts w:ascii="Arial" w:cs="Arial" w:eastAsia="Arial" w:hAnsi="Arial"/>
                <w:sz w:val="18"/>
                <w:szCs w:val="18"/>
                <w:color w:val="auto"/>
              </w:rPr>
              <w:t>earnings or loss per unit</w:t>
            </w: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 Restructuring</w:t>
            </w:r>
          </w:p>
        </w:tc>
        <w:tc>
          <w:tcPr>
            <w:tcW w:w="8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 series of transactions consummated on March 22, 2019, pursuant to which the</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Partnership cancelled its IDRs and converted its 2% economic GP interest</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18"/>
                <w:szCs w:val="18"/>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 a non-economic GP interest in exchange for 8,750,000 SMLP common</w:t>
            </w: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p>
        </w:tc>
        <w:tc>
          <w:tcPr>
            <w:tcW w:w="8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units, which were issued to SMP Holdings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47"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25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560" w:type="dxa"/>
            <w:vAlign w:val="bottom"/>
          </w:tcPr>
          <w:p>
            <w:pPr>
              <w:ind w:left="380"/>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460"/>
              <w:spacing w:after="0"/>
              <w:rPr>
                <w:sz w:val="20"/>
                <w:szCs w:val="20"/>
                <w:color w:val="auto"/>
              </w:rPr>
            </w:pPr>
            <w:r>
              <w:rPr>
                <w:rFonts w:ascii="Arial" w:cs="Arial" w:eastAsia="Arial" w:hAnsi="Arial"/>
                <w:sz w:val="18"/>
                <w:szCs w:val="18"/>
                <w:color w:val="auto"/>
              </w:rPr>
              <w:t>Securities Exchange Act of 1934, as amended</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FASB</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FERC</w:t>
            </w:r>
          </w:p>
        </w:tc>
        <w:tc>
          <w:tcPr>
            <w:tcW w:w="8680" w:type="dxa"/>
            <w:vAlign w:val="bottom"/>
          </w:tcPr>
          <w:p>
            <w:pPr>
              <w:ind w:left="46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Summit Midstream Finance Corp.</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FTC</w:t>
            </w:r>
          </w:p>
        </w:tc>
        <w:tc>
          <w:tcPr>
            <w:tcW w:w="8680" w:type="dxa"/>
            <w:vAlign w:val="bottom"/>
          </w:tcPr>
          <w:p>
            <w:pPr>
              <w:ind w:left="460"/>
              <w:spacing w:after="0"/>
              <w:rPr>
                <w:sz w:val="20"/>
                <w:szCs w:val="20"/>
                <w:color w:val="auto"/>
              </w:rPr>
            </w:pPr>
            <w:r>
              <w:rPr>
                <w:rFonts w:ascii="Arial" w:cs="Arial" w:eastAsia="Arial" w:hAnsi="Arial"/>
                <w:sz w:val="18"/>
                <w:szCs w:val="18"/>
                <w:color w:val="auto"/>
              </w:rPr>
              <w:t>Federal Trade Commission</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GAAP</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General Partner</w:t>
            </w:r>
          </w:p>
        </w:tc>
        <w:tc>
          <w:tcPr>
            <w:tcW w:w="8680" w:type="dxa"/>
            <w:vAlign w:val="bottom"/>
          </w:tcPr>
          <w:p>
            <w:pPr>
              <w:ind w:left="460"/>
              <w:spacing w:after="0"/>
              <w:rPr>
                <w:sz w:val="20"/>
                <w:szCs w:val="20"/>
                <w:color w:val="auto"/>
              </w:rPr>
            </w:pPr>
            <w:r>
              <w:rPr>
                <w:rFonts w:ascii="Arial" w:cs="Arial" w:eastAsia="Arial" w:hAnsi="Arial"/>
                <w:sz w:val="18"/>
                <w:szCs w:val="18"/>
                <w:color w:val="auto"/>
              </w:rPr>
              <w:t>Summit Midstream GP, LLC</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GHG</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greenhouse gas(es)</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GP</w:t>
            </w:r>
          </w:p>
        </w:tc>
        <w:tc>
          <w:tcPr>
            <w:tcW w:w="8680" w:type="dxa"/>
            <w:vAlign w:val="bottom"/>
          </w:tcPr>
          <w:p>
            <w:pPr>
              <w:ind w:left="46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GP interest</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2.0% general partner interest of GP in the Partnership prior to the Equity</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Restructuring and a non-economic general partner interest after the Equity</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Restructuring</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Grand River</w:t>
            </w:r>
          </w:p>
        </w:tc>
        <w:tc>
          <w:tcPr>
            <w:tcW w:w="8680" w:type="dxa"/>
            <w:vAlign w:val="bottom"/>
          </w:tcPr>
          <w:p>
            <w:pPr>
              <w:ind w:left="460"/>
              <w:spacing w:after="0"/>
              <w:rPr>
                <w:sz w:val="20"/>
                <w:szCs w:val="20"/>
                <w:color w:val="auto"/>
              </w:rPr>
            </w:pPr>
            <w:r>
              <w:rPr>
                <w:rFonts w:ascii="Arial" w:cs="Arial" w:eastAsia="Arial" w:hAnsi="Arial"/>
                <w:sz w:val="18"/>
                <w:szCs w:val="18"/>
                <w:color w:val="auto"/>
              </w:rPr>
              <w:t>Grand River Gathering, LLC</w:t>
            </w: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Guarantor Subsidiaries</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Bison Midstream and its subsidiaries, Grand River and its subsidiaries, DFW</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Midstream, Summit Marketing, Summit Permian, Permian Finance, OpCo,</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Summit Utica, Meadowlark Midstream, Summit Permian II and Mountaineer</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Midstream</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hub</w:t>
            </w:r>
          </w:p>
        </w:tc>
        <w:tc>
          <w:tcPr>
            <w:tcW w:w="8680" w:type="dxa"/>
            <w:vAlign w:val="bottom"/>
          </w:tcPr>
          <w:p>
            <w:pPr>
              <w:ind w:left="46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ICA</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Interstate Commerce Act</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IDRs</w:t>
            </w:r>
          </w:p>
        </w:tc>
        <w:tc>
          <w:tcPr>
            <w:tcW w:w="8680" w:type="dxa"/>
            <w:vAlign w:val="bottom"/>
          </w:tcPr>
          <w:p>
            <w:pPr>
              <w:ind w:left="460"/>
              <w:spacing w:after="0"/>
              <w:rPr>
                <w:sz w:val="20"/>
                <w:szCs w:val="20"/>
                <w:color w:val="auto"/>
              </w:rPr>
            </w:pPr>
            <w:r>
              <w:rPr>
                <w:rFonts w:ascii="Arial" w:cs="Arial" w:eastAsia="Arial" w:hAnsi="Arial"/>
                <w:sz w:val="18"/>
                <w:szCs w:val="18"/>
                <w:color w:val="auto"/>
              </w:rPr>
              <w:t>incentive distribution rights</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IPO</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initial public offering</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IRS</w:t>
            </w:r>
          </w:p>
        </w:tc>
        <w:tc>
          <w:tcPr>
            <w:tcW w:w="868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LIBOR</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Mbbl</w:t>
            </w:r>
          </w:p>
        </w:tc>
        <w:tc>
          <w:tcPr>
            <w:tcW w:w="8680" w:type="dxa"/>
            <w:vAlign w:val="bottom"/>
          </w:tcPr>
          <w:p>
            <w:pPr>
              <w:ind w:left="460"/>
              <w:spacing w:after="0"/>
              <w:rPr>
                <w:sz w:val="20"/>
                <w:szCs w:val="20"/>
                <w:color w:val="auto"/>
              </w:rPr>
            </w:pPr>
            <w:r>
              <w:rPr>
                <w:rFonts w:ascii="Arial" w:cs="Arial" w:eastAsia="Arial" w:hAnsi="Arial"/>
                <w:sz w:val="18"/>
                <w:szCs w:val="18"/>
                <w:color w:val="auto"/>
              </w:rPr>
              <w:t>one thousand barrels</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Mbbl/d</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one thousand barrels per day</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Mcf</w:t>
            </w:r>
          </w:p>
        </w:tc>
        <w:tc>
          <w:tcPr>
            <w:tcW w:w="8680" w:type="dxa"/>
            <w:vAlign w:val="bottom"/>
          </w:tcPr>
          <w:p>
            <w:pPr>
              <w:ind w:left="460"/>
              <w:spacing w:after="0"/>
              <w:rPr>
                <w:sz w:val="20"/>
                <w:szCs w:val="20"/>
                <w:color w:val="auto"/>
              </w:rPr>
            </w:pPr>
            <w:r>
              <w:rPr>
                <w:rFonts w:ascii="Arial" w:cs="Arial" w:eastAsia="Arial" w:hAnsi="Arial"/>
                <w:sz w:val="18"/>
                <w:szCs w:val="18"/>
                <w:color w:val="auto"/>
              </w:rPr>
              <w:t>one thousand cubic feet</w:t>
            </w: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MD&amp;A</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Meadowlark Midstream</w:t>
            </w:r>
          </w:p>
        </w:tc>
        <w:tc>
          <w:tcPr>
            <w:tcW w:w="8680" w:type="dxa"/>
            <w:vAlign w:val="bottom"/>
          </w:tcPr>
          <w:p>
            <w:pPr>
              <w:ind w:left="460"/>
              <w:spacing w:after="0"/>
              <w:rPr>
                <w:sz w:val="20"/>
                <w:szCs w:val="20"/>
                <w:color w:val="auto"/>
              </w:rPr>
            </w:pPr>
            <w:r>
              <w:rPr>
                <w:rFonts w:ascii="Arial" w:cs="Arial" w:eastAsia="Arial" w:hAnsi="Arial"/>
                <w:sz w:val="18"/>
                <w:szCs w:val="18"/>
                <w:color w:val="auto"/>
              </w:rPr>
              <w:t>Meadowlark Midstream Company, LLC</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MMBtu</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one million British Thermal Units</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MMcf</w:t>
            </w:r>
          </w:p>
        </w:tc>
        <w:tc>
          <w:tcPr>
            <w:tcW w:w="8680" w:type="dxa"/>
            <w:vAlign w:val="bottom"/>
          </w:tcPr>
          <w:p>
            <w:pPr>
              <w:ind w:left="460"/>
              <w:spacing w:after="0"/>
              <w:rPr>
                <w:sz w:val="20"/>
                <w:szCs w:val="20"/>
                <w:color w:val="auto"/>
              </w:rPr>
            </w:pPr>
            <w:r>
              <w:rPr>
                <w:rFonts w:ascii="Arial" w:cs="Arial" w:eastAsia="Arial" w:hAnsi="Arial"/>
                <w:sz w:val="18"/>
                <w:szCs w:val="18"/>
                <w:color w:val="auto"/>
              </w:rPr>
              <w:t>one million cubic feet</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one million cubic feet per day</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680" w:type="dxa"/>
            <w:vAlign w:val="bottom"/>
          </w:tcPr>
          <w:p>
            <w:pPr>
              <w:ind w:left="460"/>
              <w:spacing w:after="0"/>
              <w:rPr>
                <w:sz w:val="20"/>
                <w:szCs w:val="20"/>
                <w:color w:val="auto"/>
              </w:rPr>
            </w:pPr>
            <w:r>
              <w:rPr>
                <w:rFonts w:ascii="Arial" w:cs="Arial" w:eastAsia="Arial" w:hAnsi="Arial"/>
                <w:sz w:val="18"/>
                <w:szCs w:val="18"/>
                <w:color w:val="auto"/>
              </w:rPr>
              <w:t>Mountaineer Midstream Company, LLC</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minimum volume commitment</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NAAQS</w:t>
            </w:r>
          </w:p>
        </w:tc>
        <w:tc>
          <w:tcPr>
            <w:tcW w:w="8680" w:type="dxa"/>
            <w:vAlign w:val="bottom"/>
          </w:tcPr>
          <w:p>
            <w:pPr>
              <w:ind w:left="460"/>
              <w:spacing w:after="0"/>
              <w:rPr>
                <w:sz w:val="20"/>
                <w:szCs w:val="20"/>
                <w:color w:val="auto"/>
              </w:rPr>
            </w:pPr>
            <w:r>
              <w:rPr>
                <w:rFonts w:ascii="Arial" w:cs="Arial" w:eastAsia="Arial" w:hAnsi="Arial"/>
                <w:sz w:val="18"/>
                <w:szCs w:val="18"/>
                <w:color w:val="auto"/>
              </w:rPr>
              <w:t>national ambient air quality standard</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NEPA</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National Environmental Policy Act</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NGA</w:t>
            </w:r>
          </w:p>
        </w:tc>
        <w:tc>
          <w:tcPr>
            <w:tcW w:w="8680" w:type="dxa"/>
            <w:vAlign w:val="bottom"/>
          </w:tcPr>
          <w:p>
            <w:pPr>
              <w:ind w:left="460"/>
              <w:spacing w:after="0"/>
              <w:rPr>
                <w:sz w:val="20"/>
                <w:szCs w:val="20"/>
                <w:color w:val="auto"/>
              </w:rPr>
            </w:pPr>
            <w:r>
              <w:rPr>
                <w:rFonts w:ascii="Arial" w:cs="Arial" w:eastAsia="Arial" w:hAnsi="Arial"/>
                <w:sz w:val="18"/>
                <w:szCs w:val="18"/>
                <w:color w:val="auto"/>
              </w:rPr>
              <w:t>Natural Gas Act</w:t>
            </w: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NGLs</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natural gas liquids; the combination of ethane, propane, normal butane,</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iso-butane and natural gasolines that when removed from unprocessed</w:t>
            </w: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natural gas streams become liquid under various levels of higher</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p>
        </w:tc>
        <w:tc>
          <w:tcPr>
            <w:tcW w:w="8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pressure and lower temperature</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NGPA</w:t>
            </w:r>
          </w:p>
        </w:tc>
        <w:tc>
          <w:tcPr>
            <w:tcW w:w="8680" w:type="dxa"/>
            <w:vAlign w:val="bottom"/>
          </w:tcPr>
          <w:p>
            <w:pPr>
              <w:ind w:left="460"/>
              <w:spacing w:after="0"/>
              <w:rPr>
                <w:sz w:val="20"/>
                <w:szCs w:val="20"/>
                <w:color w:val="auto"/>
              </w:rPr>
            </w:pPr>
            <w:r>
              <w:rPr>
                <w:rFonts w:ascii="Arial" w:cs="Arial" w:eastAsia="Arial" w:hAnsi="Arial"/>
                <w:sz w:val="18"/>
                <w:szCs w:val="18"/>
                <w:color w:val="auto"/>
              </w:rPr>
              <w:t>Natural Gas Policy Act of 1978</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Niobrara Gathering and Processing system</w:t>
            </w:r>
          </w:p>
        </w:tc>
        <w:tc>
          <w:tcPr>
            <w:tcW w:w="0" w:type="dxa"/>
            <w:vAlign w:val="bottom"/>
          </w:tcPr>
          <w:p>
            <w:pPr>
              <w:spacing w:after="0"/>
              <w:rPr>
                <w:sz w:val="1"/>
                <w:szCs w:val="1"/>
                <w:color w:val="auto"/>
              </w:rPr>
            </w:pPr>
          </w:p>
        </w:tc>
      </w:tr>
      <w:tr>
        <w:trPr>
          <w:trHeight w:val="215"/>
        </w:trPr>
        <w:tc>
          <w:tcPr>
            <w:tcW w:w="2560" w:type="dxa"/>
            <w:vAlign w:val="bottom"/>
          </w:tcPr>
          <w:p>
            <w:pPr>
              <w:ind w:left="380"/>
              <w:spacing w:after="0"/>
              <w:rPr>
                <w:sz w:val="20"/>
                <w:szCs w:val="20"/>
                <w:color w:val="auto"/>
              </w:rPr>
            </w:pPr>
            <w:r>
              <w:rPr>
                <w:rFonts w:ascii="Arial" w:cs="Arial" w:eastAsia="Arial" w:hAnsi="Arial"/>
                <w:sz w:val="18"/>
                <w:szCs w:val="18"/>
                <w:color w:val="auto"/>
              </w:rPr>
              <w:t>Non-Guarantor</w:t>
            </w:r>
          </w:p>
        </w:tc>
        <w:tc>
          <w:tcPr>
            <w:tcW w:w="8680" w:type="dxa"/>
            <w:vAlign w:val="bottom"/>
            <w:vMerge w:val="restart"/>
          </w:tcPr>
          <w:p>
            <w:pPr>
              <w:ind w:left="460"/>
              <w:spacing w:after="0"/>
              <w:rPr>
                <w:sz w:val="20"/>
                <w:szCs w:val="20"/>
                <w:color w:val="auto"/>
              </w:rPr>
            </w:pPr>
            <w:r>
              <w:rPr>
                <w:rFonts w:ascii="Arial" w:cs="Arial" w:eastAsia="Arial" w:hAnsi="Arial"/>
                <w:sz w:val="18"/>
                <w:szCs w:val="18"/>
                <w:color w:val="auto"/>
              </w:rPr>
              <w:t>Permian Holdco and Summit Permian Transmission</w:t>
            </w:r>
          </w:p>
        </w:tc>
        <w:tc>
          <w:tcPr>
            <w:tcW w:w="0" w:type="dxa"/>
            <w:vAlign w:val="bottom"/>
          </w:tcPr>
          <w:p>
            <w:pPr>
              <w:spacing w:after="0"/>
              <w:rPr>
                <w:sz w:val="1"/>
                <w:szCs w:val="1"/>
                <w:color w:val="auto"/>
              </w:rPr>
            </w:pPr>
          </w:p>
        </w:tc>
      </w:tr>
      <w:tr>
        <w:trPr>
          <w:trHeight w:val="122"/>
        </w:trPr>
        <w:tc>
          <w:tcPr>
            <w:tcW w:w="2560" w:type="dxa"/>
            <w:vAlign w:val="bottom"/>
            <w:vMerge w:val="restart"/>
          </w:tcPr>
          <w:p>
            <w:pPr>
              <w:ind w:left="560"/>
              <w:spacing w:after="0"/>
              <w:rPr>
                <w:sz w:val="20"/>
                <w:szCs w:val="20"/>
                <w:color w:val="auto"/>
              </w:rPr>
            </w:pPr>
            <w:r>
              <w:rPr>
                <w:rFonts w:ascii="Arial" w:cs="Arial" w:eastAsia="Arial" w:hAnsi="Arial"/>
                <w:sz w:val="18"/>
                <w:szCs w:val="18"/>
                <w:color w:val="auto"/>
              </w:rPr>
              <w:t>Subsidiaries</w:t>
            </w: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8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NYSE</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OCC</w:t>
            </w:r>
          </w:p>
        </w:tc>
        <w:tc>
          <w:tcPr>
            <w:tcW w:w="8680" w:type="dxa"/>
            <w:vAlign w:val="bottom"/>
          </w:tcPr>
          <w:p>
            <w:pPr>
              <w:ind w:left="460"/>
              <w:spacing w:after="0"/>
              <w:rPr>
                <w:sz w:val="20"/>
                <w:szCs w:val="20"/>
                <w:color w:val="auto"/>
              </w:rPr>
            </w:pPr>
            <w:r>
              <w:rPr>
                <w:rFonts w:ascii="Arial" w:cs="Arial" w:eastAsia="Arial" w:hAnsi="Arial"/>
                <w:sz w:val="18"/>
                <w:szCs w:val="18"/>
                <w:color w:val="auto"/>
              </w:rPr>
              <w:t>Ohio Condensate Company, L.L.C.</w:t>
            </w: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Ohio Gathering Company, L.L.C.</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680" w:type="dxa"/>
            <w:vAlign w:val="bottom"/>
          </w:tcPr>
          <w:p>
            <w:pPr>
              <w:ind w:left="460"/>
              <w:spacing w:after="0"/>
              <w:rPr>
                <w:sz w:val="20"/>
                <w:szCs w:val="20"/>
                <w:color w:val="auto"/>
              </w:rPr>
            </w:pPr>
            <w:r>
              <w:rPr>
                <w:rFonts w:ascii="Arial" w:cs="Arial" w:eastAsia="Arial" w:hAnsi="Arial"/>
                <w:sz w:val="18"/>
                <w:szCs w:val="18"/>
                <w:color w:val="auto"/>
              </w:rPr>
              <w:t>Ohio Gathering Company, L.L.C. and Ohio Condensate Company, L.L.C.</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OPA</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Oil Pollution Control Act</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OpCo</w:t>
            </w:r>
          </w:p>
        </w:tc>
        <w:tc>
          <w:tcPr>
            <w:tcW w:w="8680" w:type="dxa"/>
            <w:vAlign w:val="bottom"/>
          </w:tcPr>
          <w:p>
            <w:pPr>
              <w:ind w:left="460"/>
              <w:spacing w:after="0"/>
              <w:rPr>
                <w:sz w:val="20"/>
                <w:szCs w:val="20"/>
                <w:color w:val="auto"/>
              </w:rPr>
            </w:pPr>
            <w:r>
              <w:rPr>
                <w:rFonts w:ascii="Arial" w:cs="Arial" w:eastAsia="Arial" w:hAnsi="Arial"/>
                <w:sz w:val="18"/>
                <w:szCs w:val="18"/>
                <w:color w:val="auto"/>
              </w:rPr>
              <w:t>Summit Midstream OpCo, LP</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PHMSA</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Pipeline and Hazardous Materials Safety Administration</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play</w:t>
            </w:r>
          </w:p>
        </w:tc>
        <w:tc>
          <w:tcPr>
            <w:tcW w:w="8680" w:type="dxa"/>
            <w:vAlign w:val="bottom"/>
          </w:tcPr>
          <w:p>
            <w:pPr>
              <w:ind w:left="460"/>
              <w:spacing w:after="0"/>
              <w:rPr>
                <w:sz w:val="20"/>
                <w:szCs w:val="20"/>
                <w:color w:val="auto"/>
              </w:rPr>
            </w:pPr>
            <w:r>
              <w:rPr>
                <w:rFonts w:ascii="Arial" w:cs="Arial" w:eastAsia="Arial" w:hAnsi="Arial"/>
                <w:sz w:val="18"/>
                <w:szCs w:val="18"/>
                <w:color w:val="auto"/>
              </w:rPr>
              <w:t>a proven geological formation that contains commercial amounts of hydrocarbons</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Summit Midstream Permian Finance, LLC</w:t>
            </w:r>
          </w:p>
        </w:tc>
        <w:tc>
          <w:tcPr>
            <w:tcW w:w="0" w:type="dxa"/>
            <w:vAlign w:val="bottom"/>
          </w:tcPr>
          <w:p>
            <w:pPr>
              <w:spacing w:after="0"/>
              <w:rPr>
                <w:sz w:val="1"/>
                <w:szCs w:val="1"/>
                <w:color w:val="auto"/>
              </w:rPr>
            </w:pPr>
          </w:p>
        </w:tc>
      </w:tr>
      <w:tr>
        <w:trPr>
          <w:trHeight w:val="229"/>
        </w:trPr>
        <w:tc>
          <w:tcPr>
            <w:tcW w:w="2560" w:type="dxa"/>
            <w:vAlign w:val="bottom"/>
          </w:tcPr>
          <w:p>
            <w:pPr>
              <w:ind w:left="380"/>
              <w:spacing w:after="0"/>
              <w:rPr>
                <w:sz w:val="20"/>
                <w:szCs w:val="20"/>
                <w:color w:val="auto"/>
              </w:rPr>
            </w:pPr>
            <w:r>
              <w:rPr>
                <w:rFonts w:ascii="Arial" w:cs="Arial" w:eastAsia="Arial" w:hAnsi="Arial"/>
                <w:sz w:val="18"/>
                <w:szCs w:val="18"/>
                <w:color w:val="auto"/>
              </w:rPr>
              <w:t>Permian Holdco</w:t>
            </w:r>
          </w:p>
        </w:tc>
        <w:tc>
          <w:tcPr>
            <w:tcW w:w="8680" w:type="dxa"/>
            <w:vAlign w:val="bottom"/>
          </w:tcPr>
          <w:p>
            <w:pPr>
              <w:ind w:left="460"/>
              <w:spacing w:after="0"/>
              <w:rPr>
                <w:sz w:val="20"/>
                <w:szCs w:val="20"/>
                <w:color w:val="auto"/>
              </w:rPr>
            </w:pPr>
            <w:r>
              <w:rPr>
                <w:rFonts w:ascii="Arial" w:cs="Arial" w:eastAsia="Arial" w:hAnsi="Arial"/>
                <w:sz w:val="18"/>
                <w:szCs w:val="18"/>
                <w:color w:val="auto"/>
              </w:rPr>
              <w:t>Summit Permian Transmission Holdco, LLC</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and Divide</w:t>
            </w:r>
          </w:p>
        </w:tc>
        <w:tc>
          <w:tcPr>
            <w:tcW w:w="8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the Polar and Divide system; collectively Polar Midstream and Epping</w:t>
            </w:r>
          </w:p>
        </w:tc>
        <w:tc>
          <w:tcPr>
            <w:tcW w:w="0" w:type="dxa"/>
            <w:vAlign w:val="bottom"/>
          </w:tcPr>
          <w:p>
            <w:pPr>
              <w:spacing w:after="0"/>
              <w:rPr>
                <w:sz w:val="1"/>
                <w:szCs w:val="1"/>
                <w:color w:val="auto"/>
              </w:rPr>
            </w:pPr>
          </w:p>
        </w:tc>
      </w:tr>
      <w:tr>
        <w:trPr>
          <w:trHeight w:val="230"/>
        </w:trPr>
        <w:tc>
          <w:tcPr>
            <w:tcW w:w="2560" w:type="dxa"/>
            <w:vAlign w:val="bottom"/>
          </w:tcPr>
          <w:p>
            <w:pPr>
              <w:ind w:left="380"/>
              <w:spacing w:after="0"/>
              <w:rPr>
                <w:sz w:val="20"/>
                <w:szCs w:val="20"/>
                <w:color w:val="auto"/>
              </w:rPr>
            </w:pPr>
            <w:r>
              <w:rPr>
                <w:rFonts w:ascii="Arial" w:cs="Arial" w:eastAsia="Arial" w:hAnsi="Arial"/>
                <w:sz w:val="18"/>
                <w:szCs w:val="18"/>
                <w:color w:val="auto"/>
              </w:rPr>
              <w:t>Polar Midstream</w:t>
            </w:r>
          </w:p>
        </w:tc>
        <w:tc>
          <w:tcPr>
            <w:tcW w:w="8680" w:type="dxa"/>
            <w:vAlign w:val="bottom"/>
          </w:tcPr>
          <w:p>
            <w:pPr>
              <w:ind w:left="460"/>
              <w:spacing w:after="0"/>
              <w:rPr>
                <w:sz w:val="20"/>
                <w:szCs w:val="20"/>
                <w:color w:val="auto"/>
              </w:rPr>
            </w:pPr>
            <w:r>
              <w:rPr>
                <w:rFonts w:ascii="Arial" w:cs="Arial" w:eastAsia="Arial" w:hAnsi="Arial"/>
                <w:sz w:val="18"/>
                <w:szCs w:val="18"/>
                <w:color w:val="auto"/>
              </w:rPr>
              <w:t>Polar Midstream,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47" w:right="3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produced water</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crude oil production</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PSD</w:t>
            </w:r>
          </w:p>
        </w:tc>
        <w:tc>
          <w:tcPr>
            <w:tcW w:w="8620" w:type="dxa"/>
            <w:vAlign w:val="bottom"/>
          </w:tcPr>
          <w:p>
            <w:pPr>
              <w:ind w:left="400"/>
              <w:spacing w:after="0"/>
              <w:rPr>
                <w:sz w:val="20"/>
                <w:szCs w:val="20"/>
                <w:color w:val="auto"/>
              </w:rPr>
            </w:pPr>
            <w:r>
              <w:rPr>
                <w:rFonts w:ascii="Arial" w:cs="Arial" w:eastAsia="Arial" w:hAnsi="Arial"/>
                <w:sz w:val="18"/>
                <w:szCs w:val="18"/>
                <w:color w:val="auto"/>
              </w:rPr>
              <w:t>Prevention of Significant Deterioration</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RCRA</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Resource Conservation and Recovery Act</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Red Rock Gathering</w:t>
            </w:r>
          </w:p>
        </w:tc>
        <w:tc>
          <w:tcPr>
            <w:tcW w:w="8620" w:type="dxa"/>
            <w:vAlign w:val="bottom"/>
          </w:tcPr>
          <w:p>
            <w:pPr>
              <w:ind w:left="400"/>
              <w:spacing w:after="0"/>
              <w:rPr>
                <w:sz w:val="20"/>
                <w:szCs w:val="20"/>
                <w:color w:val="auto"/>
              </w:rPr>
            </w:pPr>
            <w:r>
              <w:rPr>
                <w:rFonts w:ascii="Arial" w:cs="Arial" w:eastAsia="Arial" w:hAnsi="Arial"/>
                <w:sz w:val="18"/>
                <w:szCs w:val="18"/>
                <w:color w:val="auto"/>
              </w:rPr>
              <w:t>Red Rock Gathering Company, LLC</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Revolving Credit Facility</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Fourth Amended and Restated Credit Agreement dated as of December 18,2020,</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as amended by the Third  Amended and Restated Credit Agreement dated as of</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May 26, 2017, as amended by the First Amendment to Third Amended and Restated</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Credit Agreement dated as of September 22, 2017, the Second Amendment to Third</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Amended and Restated Credit Agreement dated as of June 26, 2019 and the Third</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Amendment to Third Amended and Restated Credit Agreement dated as of</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December 24, 2019</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SEC</w:t>
            </w:r>
          </w:p>
        </w:tc>
        <w:tc>
          <w:tcPr>
            <w:tcW w:w="862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 Act</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Securities Act of 1933, as amended</w:t>
            </w:r>
          </w:p>
        </w:tc>
      </w:tr>
      <w:tr>
        <w:trPr>
          <w:trHeight w:val="215"/>
        </w:trPr>
        <w:tc>
          <w:tcPr>
            <w:tcW w:w="2620" w:type="dxa"/>
            <w:vAlign w:val="bottom"/>
          </w:tcPr>
          <w:p>
            <w:pPr>
              <w:ind w:left="380"/>
              <w:spacing w:after="0"/>
              <w:rPr>
                <w:sz w:val="20"/>
                <w:szCs w:val="20"/>
                <w:color w:val="auto"/>
              </w:rPr>
            </w:pPr>
            <w:r>
              <w:rPr>
                <w:rFonts w:ascii="Arial" w:cs="Arial" w:eastAsia="Arial" w:hAnsi="Arial"/>
                <w:sz w:val="18"/>
                <w:szCs w:val="18"/>
                <w:color w:val="auto"/>
              </w:rPr>
              <w:t>segment adjusted</w:t>
            </w:r>
          </w:p>
        </w:tc>
        <w:tc>
          <w:tcPr>
            <w:tcW w:w="8620" w:type="dxa"/>
            <w:vAlign w:val="bottom"/>
          </w:tcPr>
          <w:p>
            <w:pPr>
              <w:ind w:left="40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16"/>
        </w:trPr>
        <w:tc>
          <w:tcPr>
            <w:tcW w:w="2620" w:type="dxa"/>
            <w:vAlign w:val="bottom"/>
          </w:tcPr>
          <w:p>
            <w:pPr>
              <w:ind w:left="560"/>
              <w:spacing w:after="0"/>
              <w:rPr>
                <w:sz w:val="20"/>
                <w:szCs w:val="20"/>
                <w:color w:val="auto"/>
              </w:rPr>
            </w:pPr>
            <w:r>
              <w:rPr>
                <w:rFonts w:ascii="Arial" w:cs="Arial" w:eastAsia="Arial" w:hAnsi="Arial"/>
                <w:sz w:val="18"/>
                <w:szCs w:val="18"/>
                <w:color w:val="auto"/>
              </w:rPr>
              <w:t>EBITDA</w:t>
            </w:r>
          </w:p>
        </w:tc>
        <w:tc>
          <w:tcPr>
            <w:tcW w:w="8620" w:type="dxa"/>
            <w:vAlign w:val="bottom"/>
          </w:tcPr>
          <w:p>
            <w:pPr>
              <w:ind w:left="580"/>
              <w:spacing w:after="0"/>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16"/>
        </w:trPr>
        <w:tc>
          <w:tcPr>
            <w:tcW w:w="2620" w:type="dxa"/>
            <w:vAlign w:val="bottom"/>
          </w:tcPr>
          <w:p>
            <w:pPr>
              <w:spacing w:after="0"/>
              <w:rPr>
                <w:sz w:val="18"/>
                <w:szCs w:val="18"/>
                <w:color w:val="auto"/>
              </w:rPr>
            </w:pPr>
          </w:p>
        </w:tc>
        <w:tc>
          <w:tcPr>
            <w:tcW w:w="8620" w:type="dxa"/>
            <w:vAlign w:val="bottom"/>
          </w:tcPr>
          <w:p>
            <w:pPr>
              <w:ind w:left="58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6"/>
        </w:trPr>
        <w:tc>
          <w:tcPr>
            <w:tcW w:w="2620" w:type="dxa"/>
            <w:vAlign w:val="bottom"/>
          </w:tcPr>
          <w:p>
            <w:pPr>
              <w:spacing w:after="0"/>
              <w:rPr>
                <w:sz w:val="18"/>
                <w:szCs w:val="18"/>
                <w:color w:val="auto"/>
              </w:rPr>
            </w:pPr>
          </w:p>
        </w:tc>
        <w:tc>
          <w:tcPr>
            <w:tcW w:w="8620" w:type="dxa"/>
            <w:vAlign w:val="bottom"/>
          </w:tcPr>
          <w:p>
            <w:pPr>
              <w:ind w:left="58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6"/>
        </w:trPr>
        <w:tc>
          <w:tcPr>
            <w:tcW w:w="2620" w:type="dxa"/>
            <w:vAlign w:val="bottom"/>
          </w:tcPr>
          <w:p>
            <w:pPr>
              <w:spacing w:after="0"/>
              <w:rPr>
                <w:sz w:val="18"/>
                <w:szCs w:val="18"/>
                <w:color w:val="auto"/>
              </w:rPr>
            </w:pPr>
          </w:p>
        </w:tc>
        <w:tc>
          <w:tcPr>
            <w:tcW w:w="8620" w:type="dxa"/>
            <w:vAlign w:val="bottom"/>
          </w:tcPr>
          <w:p>
            <w:pPr>
              <w:ind w:left="580"/>
              <w:spacing w:after="0"/>
              <w:rPr>
                <w:sz w:val="20"/>
                <w:szCs w:val="20"/>
                <w:color w:val="auto"/>
              </w:rPr>
            </w:pPr>
            <w:r>
              <w:rPr>
                <w:rFonts w:ascii="Arial" w:cs="Arial" w:eastAsia="Arial" w:hAnsi="Arial"/>
                <w:sz w:val="18"/>
                <w:szCs w:val="18"/>
                <w:color w:val="auto"/>
              </w:rPr>
              <w:t>based and noncash compensation, (vii) impairments and (viii) other noncash expenses</w:t>
            </w:r>
          </w:p>
        </w:tc>
      </w:tr>
      <w:tr>
        <w:trPr>
          <w:trHeight w:val="230"/>
        </w:trPr>
        <w:tc>
          <w:tcPr>
            <w:tcW w:w="2620" w:type="dxa"/>
            <w:vAlign w:val="bottom"/>
          </w:tcPr>
          <w:p>
            <w:pPr>
              <w:spacing w:after="0"/>
              <w:rPr>
                <w:sz w:val="20"/>
                <w:szCs w:val="20"/>
                <w:color w:val="auto"/>
              </w:rPr>
            </w:pPr>
          </w:p>
        </w:tc>
        <w:tc>
          <w:tcPr>
            <w:tcW w:w="8620" w:type="dxa"/>
            <w:vAlign w:val="bottom"/>
          </w:tcPr>
          <w:p>
            <w:pPr>
              <w:ind w:left="580"/>
              <w:spacing w:after="0"/>
              <w:rPr>
                <w:sz w:val="20"/>
                <w:szCs w:val="20"/>
                <w:color w:val="auto"/>
              </w:rPr>
            </w:pPr>
            <w:r>
              <w:rPr>
                <w:rFonts w:ascii="Arial" w:cs="Arial" w:eastAsia="Arial" w:hAnsi="Arial"/>
                <w:sz w:val="18"/>
                <w:szCs w:val="18"/>
                <w:color w:val="auto"/>
              </w:rPr>
              <w:t>or losses, less other noncash income or gains</w:t>
            </w:r>
          </w:p>
        </w:tc>
      </w:tr>
      <w:tr>
        <w:trPr>
          <w:trHeight w:val="229"/>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Notes</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5.5% Senior Notes and the 5.75% Senior Notes, collectively</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Series A Preferred Units</w:t>
            </w:r>
          </w:p>
        </w:tc>
        <w:tc>
          <w:tcPr>
            <w:tcW w:w="8620" w:type="dxa"/>
            <w:vAlign w:val="bottom"/>
          </w:tcPr>
          <w:p>
            <w:pPr>
              <w:ind w:left="40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shortfall payment</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meet its MVC for the applicable period</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SMLP</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Partners, LP</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Holdings</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SMLP Holdings, LLC</w:t>
            </w: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SMLP LTIP</w:t>
            </w:r>
          </w:p>
        </w:tc>
        <w:tc>
          <w:tcPr>
            <w:tcW w:w="8620" w:type="dxa"/>
            <w:vAlign w:val="bottom"/>
          </w:tcPr>
          <w:p>
            <w:pPr>
              <w:ind w:left="400"/>
              <w:spacing w:after="0"/>
              <w:rPr>
                <w:sz w:val="20"/>
                <w:szCs w:val="20"/>
                <w:color w:val="auto"/>
              </w:rPr>
            </w:pPr>
            <w:r>
              <w:rPr>
                <w:rFonts w:ascii="Arial" w:cs="Arial" w:eastAsia="Arial" w:hAnsi="Arial"/>
                <w:sz w:val="18"/>
                <w:szCs w:val="18"/>
                <w:color w:val="auto"/>
              </w:rPr>
              <w:t>SMLP Long-Term Incentive Plan</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SPCC</w:t>
            </w:r>
          </w:p>
        </w:tc>
        <w:tc>
          <w:tcPr>
            <w:tcW w:w="8620" w:type="dxa"/>
            <w:vAlign w:val="bottom"/>
          </w:tcPr>
          <w:p>
            <w:pPr>
              <w:ind w:left="400"/>
              <w:spacing w:after="0"/>
              <w:rPr>
                <w:sz w:val="20"/>
                <w:szCs w:val="20"/>
                <w:color w:val="auto"/>
              </w:rPr>
            </w:pPr>
            <w:r>
              <w:rPr>
                <w:rFonts w:ascii="Arial" w:cs="Arial" w:eastAsia="Arial" w:hAnsi="Arial"/>
                <w:sz w:val="18"/>
                <w:szCs w:val="18"/>
                <w:color w:val="auto"/>
              </w:rPr>
              <w:t>Spill Prevention Control and Countermeasure</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Sponsor</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as Energy Capital Partners</w:t>
            </w:r>
          </w:p>
        </w:tc>
      </w:tr>
      <w:tr>
        <w:trPr>
          <w:trHeight w:val="215"/>
        </w:trPr>
        <w:tc>
          <w:tcPr>
            <w:tcW w:w="2620" w:type="dxa"/>
            <w:vAlign w:val="bottom"/>
          </w:tcPr>
          <w:p>
            <w:pPr>
              <w:ind w:left="380"/>
              <w:spacing w:after="0"/>
              <w:rPr>
                <w:sz w:val="20"/>
                <w:szCs w:val="20"/>
                <w:color w:val="auto"/>
              </w:rPr>
            </w:pPr>
            <w:r>
              <w:rPr>
                <w:rFonts w:ascii="Arial" w:cs="Arial" w:eastAsia="Arial" w:hAnsi="Arial"/>
                <w:sz w:val="18"/>
                <w:szCs w:val="18"/>
                <w:color w:val="auto"/>
              </w:rPr>
              <w:t>Subsidiary Series A</w:t>
            </w:r>
          </w:p>
        </w:tc>
        <w:tc>
          <w:tcPr>
            <w:tcW w:w="8620" w:type="dxa"/>
            <w:vAlign w:val="bottom"/>
          </w:tcPr>
          <w:p>
            <w:pPr>
              <w:ind w:left="400"/>
              <w:spacing w:after="0"/>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30"/>
        </w:trPr>
        <w:tc>
          <w:tcPr>
            <w:tcW w:w="2620" w:type="dxa"/>
            <w:vAlign w:val="bottom"/>
          </w:tcPr>
          <w:p>
            <w:pPr>
              <w:ind w:left="560"/>
              <w:spacing w:after="0"/>
              <w:rPr>
                <w:sz w:val="20"/>
                <w:szCs w:val="20"/>
                <w:color w:val="auto"/>
              </w:rPr>
            </w:pPr>
            <w:r>
              <w:rPr>
                <w:rFonts w:ascii="Arial" w:cs="Arial" w:eastAsia="Arial" w:hAnsi="Arial"/>
                <w:sz w:val="18"/>
                <w:szCs w:val="18"/>
                <w:color w:val="auto"/>
              </w:rPr>
              <w:t>Preferred Units</w:t>
            </w:r>
          </w:p>
        </w:tc>
        <w:tc>
          <w:tcPr>
            <w:tcW w:w="8620" w:type="dxa"/>
            <w:vAlign w:val="bottom"/>
          </w:tcPr>
          <w:p>
            <w:pPr>
              <w:ind w:left="580"/>
              <w:spacing w:after="0"/>
              <w:rPr>
                <w:sz w:val="20"/>
                <w:szCs w:val="20"/>
                <w:color w:val="auto"/>
              </w:rPr>
            </w:pPr>
            <w:r>
              <w:rPr>
                <w:rFonts w:ascii="Arial" w:cs="Arial" w:eastAsia="Arial" w:hAnsi="Arial"/>
                <w:sz w:val="18"/>
                <w:szCs w:val="18"/>
                <w:color w:val="auto"/>
              </w:rPr>
              <w:t>Holdco</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Summit Midstream Holdings, LLC</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Partners, LLC</w:t>
            </w:r>
          </w:p>
        </w:tc>
      </w:tr>
      <w:tr>
        <w:trPr>
          <w:trHeight w:val="229"/>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Niobrara</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Summit Midstream Niobrara, LLC</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Summit Marketing</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Marketing, LLC</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Summit Midstream Permian, LLC</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Summit Permian II</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Summit Permian Transmission, LLC</w:t>
            </w:r>
          </w:p>
        </w:tc>
      </w:tr>
      <w:tr>
        <w:trPr>
          <w:trHeight w:val="230"/>
        </w:trPr>
        <w:tc>
          <w:tcPr>
            <w:tcW w:w="2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Transmission</w:t>
            </w:r>
          </w:p>
        </w:tc>
        <w:tc>
          <w:tcPr>
            <w:tcW w:w="8620" w:type="dxa"/>
            <w:vAlign w:val="bottom"/>
            <w:shd w:val="clear" w:color="auto" w:fill="CFF0FC"/>
          </w:tcPr>
          <w:p>
            <w:pPr>
              <w:spacing w:after="0"/>
              <w:rPr>
                <w:sz w:val="20"/>
                <w:szCs w:val="20"/>
                <w:color w:val="auto"/>
              </w:rPr>
            </w:pP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color w:val="auto"/>
              </w:rPr>
              <w:t>Summit Utica</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Utica, LLC</w:t>
            </w:r>
          </w:p>
        </w:tc>
      </w:tr>
      <w:tr>
        <w:trPr>
          <w:trHeight w:val="230"/>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Tcfe</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equivalent of one trillion cubic feet</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620" w:type="dxa"/>
            <w:vAlign w:val="bottom"/>
          </w:tcPr>
          <w:p>
            <w:pPr>
              <w:ind w:left="40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throughput volume</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also referred to as volume throughput</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Tioga Midstream</w:t>
            </w:r>
          </w:p>
        </w:tc>
        <w:tc>
          <w:tcPr>
            <w:tcW w:w="8620" w:type="dxa"/>
            <w:vAlign w:val="bottom"/>
          </w:tcPr>
          <w:p>
            <w:pPr>
              <w:ind w:left="400"/>
              <w:spacing w:after="0"/>
              <w:rPr>
                <w:sz w:val="20"/>
                <w:szCs w:val="20"/>
                <w:color w:val="auto"/>
              </w:rPr>
            </w:pPr>
            <w:r>
              <w:rPr>
                <w:rFonts w:ascii="Arial" w:cs="Arial" w:eastAsia="Arial" w:hAnsi="Arial"/>
                <w:sz w:val="18"/>
                <w:szCs w:val="18"/>
                <w:color w:val="auto"/>
              </w:rPr>
              <w:t>Tioga Midstream, LLC</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unconventional resource</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6"/>
        </w:trPr>
        <w:tc>
          <w:tcPr>
            <w:tcW w:w="2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basin</w:t>
            </w: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16"/>
        </w:trPr>
        <w:tc>
          <w:tcPr>
            <w:tcW w:w="2620" w:type="dxa"/>
            <w:vAlign w:val="bottom"/>
            <w:shd w:val="clear" w:color="auto" w:fill="CFF0FC"/>
          </w:tcPr>
          <w:p>
            <w:pPr>
              <w:spacing w:after="0"/>
              <w:rPr>
                <w:sz w:val="18"/>
                <w:szCs w:val="18"/>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instance, natural gas produced from shale formations and coalbeds; also</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referred to as an unconventional resource play</w:t>
            </w:r>
          </w:p>
        </w:tc>
      </w:tr>
      <w:tr>
        <w:trPr>
          <w:trHeight w:val="230"/>
        </w:trPr>
        <w:tc>
          <w:tcPr>
            <w:tcW w:w="2620" w:type="dxa"/>
            <w:vAlign w:val="bottom"/>
          </w:tcPr>
          <w:p>
            <w:pPr>
              <w:ind w:left="380"/>
              <w:spacing w:after="0"/>
              <w:rPr>
                <w:sz w:val="20"/>
                <w:szCs w:val="20"/>
                <w:color w:val="auto"/>
              </w:rPr>
            </w:pPr>
            <w:r>
              <w:rPr>
                <w:rFonts w:ascii="Arial" w:cs="Arial" w:eastAsia="Arial" w:hAnsi="Arial"/>
                <w:sz w:val="18"/>
                <w:szCs w:val="18"/>
                <w:color w:val="auto"/>
              </w:rPr>
              <w:t>VOC</w:t>
            </w:r>
          </w:p>
        </w:tc>
        <w:tc>
          <w:tcPr>
            <w:tcW w:w="8620" w:type="dxa"/>
            <w:vAlign w:val="bottom"/>
          </w:tcPr>
          <w:p>
            <w:pPr>
              <w:ind w:left="400"/>
              <w:spacing w:after="0"/>
              <w:rPr>
                <w:sz w:val="20"/>
                <w:szCs w:val="20"/>
                <w:color w:val="auto"/>
              </w:rPr>
            </w:pPr>
            <w:r>
              <w:rPr>
                <w:rFonts w:ascii="Arial" w:cs="Arial" w:eastAsia="Arial" w:hAnsi="Arial"/>
                <w:sz w:val="18"/>
                <w:szCs w:val="18"/>
                <w:color w:val="auto"/>
              </w:rPr>
              <w:t>volatile organic compound(s)</w:t>
            </w:r>
          </w:p>
        </w:tc>
      </w:tr>
      <w:tr>
        <w:trPr>
          <w:trHeight w:val="215"/>
        </w:trPr>
        <w:tc>
          <w:tcPr>
            <w:tcW w:w="2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wellhead</w:t>
            </w:r>
          </w:p>
        </w:tc>
        <w:tc>
          <w:tcPr>
            <w:tcW w:w="8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30"/>
        </w:trPr>
        <w:tc>
          <w:tcPr>
            <w:tcW w:w="2620" w:type="dxa"/>
            <w:vAlign w:val="bottom"/>
            <w:shd w:val="clear" w:color="auto" w:fill="CFF0FC"/>
          </w:tcPr>
          <w:p>
            <w:pPr>
              <w:spacing w:after="0"/>
              <w:rPr>
                <w:sz w:val="20"/>
                <w:szCs w:val="20"/>
                <w:color w:val="auto"/>
              </w:rPr>
            </w:pPr>
          </w:p>
        </w:tc>
        <w:tc>
          <w:tcPr>
            <w:tcW w:w="86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point at which the hydrocarbons and water exit the ground</w:t>
            </w:r>
          </w:p>
        </w:tc>
      </w:tr>
    </w:tbl>
    <w:p>
      <w:pPr>
        <w:spacing w:after="0" w:line="200" w:lineRule="exact"/>
        <w:rPr>
          <w:sz w:val="20"/>
          <w:szCs w:val="20"/>
          <w:color w:val="auto"/>
        </w:rPr>
      </w:pPr>
    </w:p>
    <w:p>
      <w:pPr>
        <w:sectPr>
          <w:pgSz w:w="11900" w:h="16838" w:orient="portrait"/>
          <w:cols w:equalWidth="0" w:num="1">
            <w:col w:w="11240"/>
          </w:cols>
          <w:pgMar w:left="320" w:top="247"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GAAP, the GP Buy-In Transaction (as defined below) whereby the Partnership acquired Summit Investments, the parent company of the General Partner, and the General Partner became a wholly-owned subsidiary of the Partnership, the GP Buy-In Transaction was deemed a transaction between entities under common control with a change in reporting entity. As a result, the Partnership recast its financial statements for the periods preceding the GP Buy-In Transaction, during which the entities were under the common control of Summit Investments, to retrospectively reflect the GP Buy-In Transaction. Although the Partnership is the surviving entity for legal purposes, Summit Investments is the surviving entity for accounting purposes; therefore, the historical financial results of the Partnership prior to the GP Buy-In Transaction are those of Summit Investments. Prior to the GP Buy-In Transaction, Summit Investments controlled the Partnership and the Partnership’s financial statements were consolidated into Summit Investments.</w:t>
      </w:r>
    </w:p>
    <w:p>
      <w:pPr>
        <w:spacing w:after="0" w:line="5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financial data included in this Annual Report includes periods prior to the GP Buy-In Transaction. Consequently, the Partnership’s consolidated financial statements have been retrospectively recast for all periods presented in order to present the financial results of the surviving entity, Summit Investments, for accounting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Summit Midstream Partners, LP, a Delaware limited partnership (including its subsidiaries, collectively, “we”, “our”, “us”, "SMLP", or “the Partnership”), is a value-driven limited partnership focused on developing, owning and operating midstream energy infrastructure assets that are strategically located in unconventional resource basins, primarily shale formations, in the continental United States. Our common units are listed and traded on the NYSE under the ticker symbol “SMLP.”</w:t>
      </w:r>
    </w:p>
    <w:p>
      <w:pPr>
        <w:spacing w:after="0" w:line="7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Partnership was formed in May 2012. The Partnership’s executive offices are located at 910 Louisiana Street, Suite 4200, Houston, Texas 77002, and can be reached by phone at 832-413-4770. The Partnership also maintains regional field offices in close proximity to our areas of operation to support the operation and development of our midstream assets.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the GP Buy-In Transaction (as described below), the Partnership indirectly owns its General Partner, and the General Partner’s Board of Directors is comprised of a majority of independent directors. The Partnership’s Fourth Amended and Restated Agreement of Limited Partnership (the “Partnership Agreement”) provides the Partnership’s common unitholders with voting rights in the election of the members of the Board of Directors on a staggered basis beginning in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Strategies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operate a differentiated midstream platform that is built for long-term, sustainable value creation. Our integrated assets are strategically located in premier production basins and core demand centers, including the Williston Basin, DJ Basin, Utica Shale, Marcellus Shale, and Permian Basin. Our primary business objective is to provide cash flow stability for our stakeholders while growing prudently and profitably. We intend to accomplish this objective by executing the following strategies:</w:t>
      </w:r>
    </w:p>
    <w:p>
      <w:pPr>
        <w:spacing w:after="0" w:line="79" w:lineRule="exact"/>
        <w:rPr>
          <w:sz w:val="20"/>
          <w:szCs w:val="20"/>
          <w:color w:val="auto"/>
        </w:rPr>
      </w:pPr>
    </w:p>
    <w:p>
      <w:pPr>
        <w:ind w:left="800" w:right="40" w:hanging="401"/>
        <w:spacing w:after="0" w:line="26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Liability management. </w:t>
      </w:r>
      <w:r>
        <w:rPr>
          <w:rFonts w:ascii="Arial" w:cs="Arial" w:eastAsia="Arial" w:hAnsi="Arial"/>
          <w:sz w:val="18"/>
          <w:szCs w:val="18"/>
          <w:color w:val="auto"/>
        </w:rPr>
        <w:t>We seek to maximize unitholder value by reducing and extending, where appropriate, the Partnership’s indebtedness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fixed capital obligations through a combination of opportunistic liability management transactions, operating cash flow, and other corporate transactions.</w:t>
      </w:r>
    </w:p>
    <w:p>
      <w:pPr>
        <w:spacing w:after="0" w:line="75" w:lineRule="exact"/>
        <w:rPr>
          <w:rFonts w:ascii="Arial" w:cs="Arial" w:eastAsia="Arial" w:hAnsi="Arial"/>
          <w:sz w:val="18"/>
          <w:szCs w:val="18"/>
          <w:color w:val="auto"/>
        </w:rPr>
      </w:pPr>
    </w:p>
    <w:p>
      <w:pPr>
        <w:ind w:left="780" w:right="20" w:hanging="286"/>
        <w:spacing w:after="0" w:line="286" w:lineRule="auto"/>
        <w:tabs>
          <w:tab w:leader="none" w:pos="780"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Portfolio management. </w:t>
      </w:r>
      <w:r>
        <w:rPr>
          <w:rFonts w:ascii="Arial" w:cs="Arial" w:eastAsia="Arial" w:hAnsi="Arial"/>
          <w:sz w:val="17"/>
          <w:szCs w:val="17"/>
          <w:color w:val="auto"/>
        </w:rPr>
        <w:t>We seek to maximize unitholder value by strategically managing our portfolio of midstream assets and allocating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appropriate risk-informed cash flow assumptions. This may include opportunistic divestitures, re-allocation of capital to new or existing areas, and development of joint ventures involving our existing midstream assets or new investment opportunities.</w:t>
      </w:r>
    </w:p>
    <w:p>
      <w:pPr>
        <w:spacing w:after="0" w:line="57" w:lineRule="exact"/>
        <w:rPr>
          <w:rFonts w:ascii="Arial" w:cs="Arial" w:eastAsia="Arial" w:hAnsi="Arial"/>
          <w:sz w:val="17"/>
          <w:szCs w:val="17"/>
          <w:color w:val="auto"/>
        </w:rPr>
      </w:pPr>
    </w:p>
    <w:p>
      <w:pPr>
        <w:ind w:left="780" w:right="300" w:hanging="286"/>
        <w:spacing w:after="0" w:line="263" w:lineRule="auto"/>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our focus on fee-based revenue with minimal direct commodity price exposure. </w:t>
      </w:r>
      <w:r>
        <w:rPr>
          <w:rFonts w:ascii="Arial" w:cs="Arial" w:eastAsia="Arial" w:hAnsi="Arial"/>
          <w:sz w:val="18"/>
          <w:szCs w:val="18"/>
          <w:color w:val="auto"/>
        </w:rPr>
        <w:t>We intend to maintain our focus on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midstream services under primarily long-term and fee-based contracts. We believe that our focus on fee-based revenues with minimal direct commodity price exposure is essential to maintaining stable cash flows.</w:t>
      </w:r>
    </w:p>
    <w:p>
      <w:pPr>
        <w:spacing w:after="0" w:line="75" w:lineRule="exact"/>
        <w:rPr>
          <w:rFonts w:ascii="Arial" w:cs="Arial" w:eastAsia="Arial" w:hAnsi="Arial"/>
          <w:sz w:val="18"/>
          <w:szCs w:val="18"/>
          <w:color w:val="auto"/>
        </w:rPr>
      </w:pPr>
    </w:p>
    <w:p>
      <w:pPr>
        <w:ind w:left="780" w:right="240" w:hanging="286"/>
        <w:spacing w:after="0" w:line="259" w:lineRule="auto"/>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strong producer relationships to maximize utilization of all of our midstream assets. </w:t>
      </w:r>
      <w:r>
        <w:rPr>
          <w:rFonts w:ascii="Arial" w:cs="Arial" w:eastAsia="Arial" w:hAnsi="Arial"/>
          <w:sz w:val="18"/>
          <w:szCs w:val="18"/>
          <w:color w:val="auto"/>
        </w:rPr>
        <w:t>We have cultivated strong producer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by focusing on customer service, reliable project execution and by operating our assets safely and reliably over time. We believe that our strong producer relationships will create future opportunities to optimize the utilization of the gathering systems in our Legacy Areas and develop new midstream infrastructure in our Core Focus Areas.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780" w:hanging="286"/>
        <w:spacing w:after="0" w:line="31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prioritize safe and reliable operations. </w:t>
      </w:r>
      <w:r>
        <w:rPr>
          <w:rFonts w:ascii="Arial" w:cs="Arial" w:eastAsia="Arial" w:hAnsi="Arial"/>
          <w:sz w:val="16"/>
          <w:szCs w:val="16"/>
          <w:color w:val="auto"/>
        </w:rPr>
        <w:t>We believe that providing safe, reliable and efficient operations is a key component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strategy. We place a strong emphasis on employee training, operational procedures and enterprise technology, and we intend to continue promoting a high standard with respect to the efficiency of our operations and the safety of all of our constituents.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is a brief listing of significant developments since December 31, 2019. Additional information regarding these items may be found elsewhere in this Annual Report.</w:t>
      </w:r>
    </w:p>
    <w:p>
      <w:pPr>
        <w:spacing w:after="0" w:line="170" w:lineRule="exact"/>
        <w:rPr>
          <w:sz w:val="20"/>
          <w:szCs w:val="20"/>
          <w:color w:val="auto"/>
        </w:rPr>
      </w:pPr>
    </w:p>
    <w:p>
      <w:pPr>
        <w:ind w:left="800" w:right="20" w:hanging="401"/>
        <w:spacing w:after="0" w:line="272"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GP Buy-In Transaction. </w:t>
      </w:r>
      <w:r>
        <w:rPr>
          <w:rFonts w:ascii="Arial" w:cs="Arial" w:eastAsia="Arial" w:hAnsi="Arial"/>
          <w:sz w:val="17"/>
          <w:szCs w:val="17"/>
          <w:color w:val="auto"/>
        </w:rPr>
        <w:t>In May 2020, the Partnership completed a simplification transaction (the “GP Buy-In Transaction”) whereby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acquired from its then private equity sponsor, Energy Capital Partners (“ECP”), (i) Summit Midstream Partners, LLC (“Summit Investments”), which owned the Partnership’s General Partner, (ii) through its indirect ownership of Summit Midstream Partners Holdings, LLC (“SMP Holdings”), 3,415,646 of its common units and (iii) the Deferred Purchase Price obligation receivable owed by the Partnership. Consideration paid to ECP included a $35.0 million cash payment and the issuance of warrants to purchase up to 666,667 common units. In connection with the closing of the GP Buy-In Transaction, ECP’s management resigned from the Board of Directors and ECP fully exited its investment in the Partnership (other than retaining the aforementioned warrants).</w:t>
      </w:r>
    </w:p>
    <w:p>
      <w:pPr>
        <w:spacing w:after="0" w:line="69" w:lineRule="exact"/>
        <w:rPr>
          <w:rFonts w:ascii="Arial" w:cs="Arial" w:eastAsia="Arial" w:hAnsi="Arial"/>
          <w:sz w:val="17"/>
          <w:szCs w:val="17"/>
          <w:color w:val="auto"/>
        </w:rPr>
      </w:pPr>
    </w:p>
    <w:p>
      <w:pPr>
        <w:ind w:left="800" w:right="180" w:hanging="401"/>
        <w:spacing w:after="0" w:line="275"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Suspension of common and preferred unit distributions. </w:t>
      </w:r>
      <w:r>
        <w:rPr>
          <w:rFonts w:ascii="Arial" w:cs="Arial" w:eastAsia="Arial" w:hAnsi="Arial"/>
          <w:sz w:val="17"/>
          <w:szCs w:val="17"/>
          <w:color w:val="auto"/>
        </w:rPr>
        <w:t>In May 2020, and in conjunction with the GP Buy-In Transaction, the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suspended distributions to holders of its common units and its Series A Preferred Units, commencing with respect to the quarter ending March 31, 2020. The suspension of distributions enabled the Partnership to retain an incremental $76.0 million per annum of operating cash flow and reallocate this retained cash to indebtedness reduction, liability management transactions and other corporate initiatives. The unpaid cash distributions on the Series A Preferred Units continue to accrue semi-annually, until paid.</w:t>
      </w:r>
    </w:p>
    <w:p>
      <w:pPr>
        <w:spacing w:after="0" w:line="68" w:lineRule="exact"/>
        <w:rPr>
          <w:rFonts w:ascii="Arial" w:cs="Arial" w:eastAsia="Arial" w:hAnsi="Arial"/>
          <w:sz w:val="17"/>
          <w:szCs w:val="17"/>
          <w:color w:val="auto"/>
        </w:rPr>
      </w:pPr>
    </w:p>
    <w:p>
      <w:pPr>
        <w:ind w:left="800" w:hanging="401"/>
        <w:spacing w:after="0" w:line="291"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Liability Management - Open Market Repurchases. </w:t>
      </w:r>
      <w:r>
        <w:rPr>
          <w:rFonts w:ascii="Arial" w:cs="Arial" w:eastAsia="Arial" w:hAnsi="Arial"/>
          <w:sz w:val="16"/>
          <w:szCs w:val="16"/>
          <w:color w:val="auto"/>
        </w:rPr>
        <w:t>Throughout 2020, the Partnership completed multiple open market repurchases of the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Notes and 2025 Senior Notes that resulted in the extinguishment of $32.4 million of face value of the 2022 Senior Notes and</w:t>
      </w:r>
    </w:p>
    <w:p>
      <w:pPr>
        <w:ind w:left="800" w:right="80"/>
        <w:spacing w:after="0" w:line="277" w:lineRule="auto"/>
        <w:rPr>
          <w:rFonts w:ascii="Arial" w:cs="Arial" w:eastAsia="Arial" w:hAnsi="Arial"/>
          <w:sz w:val="16"/>
          <w:szCs w:val="16"/>
          <w:color w:val="auto"/>
        </w:rPr>
      </w:pPr>
      <w:r>
        <w:rPr>
          <w:rFonts w:ascii="Arial" w:cs="Arial" w:eastAsia="Arial" w:hAnsi="Arial"/>
          <w:sz w:val="17"/>
          <w:szCs w:val="17"/>
          <w:color w:val="auto"/>
        </w:rPr>
        <w:t>$201.8 million of face value of the 2025 Senior Notes (the “Open Market Repurchases”). Total cash consideration paid to repurchase the principal amounts outstanding of the 2022 Senior Notes and 2025 Senior Notes, plus accrued interest totaled $150.3 million and the Partnership recognized an $86.5 million gain on the extinguishment of debt related to these Open Market Repurchases during 2020.</w:t>
      </w:r>
    </w:p>
    <w:p>
      <w:pPr>
        <w:spacing w:after="0" w:line="64" w:lineRule="exact"/>
        <w:rPr>
          <w:rFonts w:ascii="Arial" w:cs="Arial" w:eastAsia="Arial" w:hAnsi="Arial"/>
          <w:sz w:val="16"/>
          <w:szCs w:val="16"/>
          <w:color w:val="auto"/>
        </w:rPr>
      </w:pPr>
    </w:p>
    <w:p>
      <w:pPr>
        <w:ind w:left="800" w:right="100" w:hanging="401"/>
        <w:spacing w:after="0" w:line="287"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Liability Management - Debt Tender Offers. </w:t>
      </w:r>
      <w:r>
        <w:rPr>
          <w:rFonts w:ascii="Arial" w:cs="Arial" w:eastAsia="Arial" w:hAnsi="Arial"/>
          <w:sz w:val="16"/>
          <w:szCs w:val="16"/>
          <w:color w:val="auto"/>
        </w:rPr>
        <w:t>In September 2020, Summit Holdings and Finance Corp. (together with Summit Holdings,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“Co-Issuers”) completed cash tender offers (the “Debt Tender Offers”) to purchase a portion of their 2022 Senior Notes and 2025 Senior Notes. Upon completion of the Debt Tender Offers, the Co-Issuers repurchased $33.5 million principal amount of the 2022 Senior Notes</w:t>
      </w:r>
    </w:p>
    <w:p>
      <w:pPr>
        <w:spacing w:after="0" w:line="2" w:lineRule="exact"/>
        <w:rPr>
          <w:rFonts w:ascii="Arial" w:cs="Arial" w:eastAsia="Arial" w:hAnsi="Arial"/>
          <w:sz w:val="16"/>
          <w:szCs w:val="16"/>
          <w:color w:val="auto"/>
        </w:rPr>
      </w:pPr>
    </w:p>
    <w:p>
      <w:pPr>
        <w:ind w:left="800" w:right="160"/>
        <w:spacing w:after="0" w:line="255" w:lineRule="auto"/>
        <w:rPr>
          <w:rFonts w:ascii="Arial" w:cs="Arial" w:eastAsia="Arial" w:hAnsi="Arial"/>
          <w:sz w:val="16"/>
          <w:szCs w:val="16"/>
          <w:color w:val="auto"/>
        </w:rPr>
      </w:pPr>
      <w:r>
        <w:rPr>
          <w:rFonts w:ascii="Arial" w:cs="Arial" w:eastAsia="Arial" w:hAnsi="Arial"/>
          <w:sz w:val="18"/>
          <w:szCs w:val="18"/>
          <w:color w:val="auto"/>
        </w:rPr>
        <w:t>and $38.7 million principal amount of the 2025 Senior Notes. Total cash consideration paid to repurchase the principal amounts outstanding of the 2022 and 2025 Senior Notes, plus accrued interest, totaled $48.7 million, and the Partnership recognized a $23.3 million gain on the extinguishment of debt related to the Debt Tender Offers during 2020.</w:t>
      </w:r>
    </w:p>
    <w:p>
      <w:pPr>
        <w:spacing w:after="0" w:line="81" w:lineRule="exact"/>
        <w:rPr>
          <w:rFonts w:ascii="Arial" w:cs="Arial" w:eastAsia="Arial" w:hAnsi="Arial"/>
          <w:sz w:val="16"/>
          <w:szCs w:val="16"/>
          <w:color w:val="auto"/>
        </w:rPr>
      </w:pPr>
    </w:p>
    <w:p>
      <w:pPr>
        <w:ind w:left="800" w:hanging="401"/>
        <w:spacing w:after="0" w:line="293"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Liability Management - SMPH Term Loan Restructuring. </w:t>
      </w:r>
      <w:r>
        <w:rPr>
          <w:rFonts w:ascii="Arial" w:cs="Arial" w:eastAsia="Arial" w:hAnsi="Arial"/>
          <w:sz w:val="16"/>
          <w:szCs w:val="16"/>
          <w:color w:val="auto"/>
        </w:rPr>
        <w:t>In November 2020, the Partnership completed a consensual debt discharge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(the “TL Restructuring”) of SMP Holdings’ $155.2 million term loan (“SMPH Term Loan”). All of the lenders under the SMPH Term Loan (the “Term Loan Lenders”) participated in the TL Restructuring. As part of the TL Restructuring, the Partnership paid SMP Holdings $26.5 million in cash as consideration to fully settle the deferred purchase price obligation, which SMP Holdings then paid to the Term Loan Lenders. In addition, the Term Loan Lenders executed a strict foreclosure (the “Strict Foreclosure”) on the 2,306,972 common units pledged as collateral under the SMPH Term Loan in full satisfaction of SMP Holdings’ outstanding obligations under the SMPH Term Loan.</w:t>
      </w:r>
    </w:p>
    <w:p>
      <w:pPr>
        <w:spacing w:after="0" w:line="56" w:lineRule="exact"/>
        <w:rPr>
          <w:rFonts w:ascii="Arial" w:cs="Arial" w:eastAsia="Arial" w:hAnsi="Arial"/>
          <w:sz w:val="16"/>
          <w:szCs w:val="16"/>
          <w:color w:val="auto"/>
        </w:rPr>
      </w:pPr>
    </w:p>
    <w:p>
      <w:pPr>
        <w:ind w:left="800" w:right="140" w:hanging="401"/>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Reverse Unit Split. </w:t>
      </w:r>
      <w:r>
        <w:rPr>
          <w:rFonts w:ascii="Arial" w:cs="Arial" w:eastAsia="Arial" w:hAnsi="Arial"/>
          <w:sz w:val="18"/>
          <w:szCs w:val="18"/>
          <w:color w:val="auto"/>
        </w:rPr>
        <w:t>On November 9, 2020, after the close of trading on the NYSE, the Partnership effected a 1-for-15 reverse unit split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Unit Split”) of its common units. The common units began trading on a split-adjusted basis on November 10, 2020. Pursuant to the Reverse Unit Split, common unitholders received one common unit for every 15 common units owned at the close of business on November 9, 2020. Immediately prior to the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300"/>
        <w:spacing w:after="0" w:line="277" w:lineRule="auto"/>
        <w:rPr>
          <w:sz w:val="20"/>
          <w:szCs w:val="20"/>
          <w:color w:val="auto"/>
        </w:rPr>
      </w:pPr>
      <w:r>
        <w:rPr>
          <w:rFonts w:ascii="Arial" w:cs="Arial" w:eastAsia="Arial" w:hAnsi="Arial"/>
          <w:sz w:val="18"/>
          <w:szCs w:val="18"/>
          <w:color w:val="auto"/>
        </w:rPr>
        <w:t>Reverse Unit Split, there were 56,624,887 common units issued and outstanding and immediately after the Reverse Unit Split, the number of issued and outstanding common units decreased to 3,774,992.</w:t>
      </w:r>
    </w:p>
    <w:p>
      <w:pPr>
        <w:spacing w:after="0" w:line="62" w:lineRule="exact"/>
        <w:rPr>
          <w:sz w:val="20"/>
          <w:szCs w:val="20"/>
          <w:color w:val="auto"/>
        </w:rPr>
      </w:pPr>
    </w:p>
    <w:p>
      <w:pPr>
        <w:ind w:left="800" w:right="80" w:hanging="401"/>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July 2020 Series A Preferred Unit Exchange. </w:t>
      </w:r>
      <w:r>
        <w:rPr>
          <w:rFonts w:ascii="Arial" w:cs="Arial" w:eastAsia="Arial" w:hAnsi="Arial"/>
          <w:sz w:val="18"/>
          <w:szCs w:val="18"/>
          <w:color w:val="auto"/>
        </w:rPr>
        <w:t>In July 2020, the Partnership completed an offer to exchange its Series A Preferred Units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newly issued common units (the “Preferred Exchange Offer”), whereby it issued 837,547 SMLP common units in exchange for 62,816 Series A Preferred Units. Upon closing the Preferred Exchange Offer, it eliminated $66.5 million of the Series A Preferred Unit liquidation preference amount due as of the settlement date.</w:t>
      </w:r>
    </w:p>
    <w:p>
      <w:pPr>
        <w:spacing w:after="0" w:line="78" w:lineRule="exact"/>
        <w:rPr>
          <w:rFonts w:ascii="Arial" w:cs="Arial" w:eastAsia="Arial" w:hAnsi="Arial"/>
          <w:sz w:val="18"/>
          <w:szCs w:val="18"/>
          <w:color w:val="auto"/>
        </w:rPr>
      </w:pPr>
    </w:p>
    <w:p>
      <w:pPr>
        <w:ind w:left="800" w:right="60" w:hanging="401"/>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December 2020 Series A Preferred Unit Tender. </w:t>
      </w:r>
      <w:r>
        <w:rPr>
          <w:rFonts w:ascii="Arial" w:cs="Arial" w:eastAsia="Arial" w:hAnsi="Arial"/>
          <w:sz w:val="18"/>
          <w:szCs w:val="18"/>
          <w:color w:val="auto"/>
        </w:rPr>
        <w:t>In December 2020, the Partnership completed a cash tender offer for its Series A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(the “Preferred Tender Offer”) whereby it accepted 75,075 Series A Preferred Units for a purchase price of $333.00 per Series A Preferred Unit and an aggregate purchase price of $25.0 million. Upon closing the Preferred Tender Offer, it eliminated $82.7 million of the Series A Preferred Unit liquidation preference amount due as of the settlement date.</w:t>
      </w:r>
    </w:p>
    <w:p>
      <w:pPr>
        <w:spacing w:after="0" w:line="78" w:lineRule="exact"/>
        <w:rPr>
          <w:rFonts w:ascii="Arial" w:cs="Arial" w:eastAsia="Arial" w:hAnsi="Arial"/>
          <w:sz w:val="18"/>
          <w:szCs w:val="18"/>
          <w:color w:val="auto"/>
        </w:rPr>
      </w:pPr>
    </w:p>
    <w:p>
      <w:pPr>
        <w:ind w:left="800" w:hanging="401"/>
        <w:spacing w:after="0" w:line="255"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 E Project FERC approval. </w:t>
      </w:r>
      <w:r>
        <w:rPr>
          <w:rFonts w:ascii="Arial" w:cs="Arial" w:eastAsia="Arial" w:hAnsi="Arial"/>
          <w:sz w:val="18"/>
          <w:szCs w:val="18"/>
          <w:color w:val="auto"/>
        </w:rPr>
        <w:t>In January 2021, Double E, a joint venture focused on the development of an interstate natural gas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which the Partnership indirectly owns a 70% equity interest and serves as the pipeline's operator and construction manager, received its Notice to Proceed (“NTP”) with construction, as well as approval of its implementation plan, from FERC. Prior to this, in October 2020, Double E received FERC approval of its application to construct and operate the Double E Project, pursuant to Section 7(c) of the Natural Gas Act. With the receipt of the 7(c) certificate and the NTP, construction on the Double E pipeline commenced in February 2021, and the pipeline is expected to be in-service by the end of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Midstream Assets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systems gather natural gas from pad sites, wells and central receipt points connected to our systems. Gathered natural gas volumes are then compressed, dehydrated, treated and/or processed for delivery to downstream pipelines serving processing plants and/or end users. We also contract with producers to gather crude oil and produced water from wells connected to our systems for delivery to downstream pipelines and third-party rail terminals in the case of crude oil and to third-party disposal wells in the case of produced water. We generally refer to all of the services our systems provide as gathering services.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classify our midstream energy infrastructure assets into two categories, our Core Focus Areas and our Legacy Areas. Further details on our Focus Areas and Legacy Areas are summarized below.</w:t>
      </w:r>
    </w:p>
    <w:p>
      <w:pPr>
        <w:spacing w:after="0" w:line="62" w:lineRule="exact"/>
        <w:rPr>
          <w:sz w:val="20"/>
          <w:szCs w:val="20"/>
          <w:color w:val="auto"/>
        </w:rPr>
      </w:pPr>
    </w:p>
    <w:p>
      <w:pPr>
        <w:ind w:left="1180" w:right="420" w:hanging="389"/>
        <w:spacing w:after="0" w:line="25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Core Focus Areas. </w:t>
      </w:r>
      <w:r>
        <w:rPr>
          <w:rFonts w:ascii="Arial" w:cs="Arial" w:eastAsia="Arial" w:hAnsi="Arial"/>
          <w:sz w:val="18"/>
          <w:szCs w:val="18"/>
          <w:color w:val="auto"/>
        </w:rPr>
        <w:t>Core producing areas of basins in which we expect our gathering systems to experience greater long-term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comprise our Core Focus Areas.</w:t>
      </w:r>
    </w:p>
    <w:p>
      <w:pPr>
        <w:spacing w:after="0" w:line="79" w:lineRule="exact"/>
        <w:rPr>
          <w:rFonts w:ascii="Arial" w:cs="Arial" w:eastAsia="Arial" w:hAnsi="Arial"/>
          <w:sz w:val="18"/>
          <w:szCs w:val="18"/>
          <w:color w:val="auto"/>
        </w:rPr>
      </w:pPr>
    </w:p>
    <w:p>
      <w:pPr>
        <w:ind w:left="1180" w:right="20" w:hanging="389"/>
        <w:spacing w:after="0" w:line="273"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Legacy Areas. </w:t>
      </w:r>
      <w:r>
        <w:rPr>
          <w:rFonts w:ascii="Arial" w:cs="Arial" w:eastAsia="Arial" w:hAnsi="Arial"/>
          <w:sz w:val="17"/>
          <w:szCs w:val="17"/>
          <w:color w:val="auto"/>
        </w:rPr>
        <w:t>Production basins in which we expect volume throughput on our gathering systems to experience relatively lower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comprise our Legacy Areas.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 and Commercial Arrangements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compete with other midstream companies, producers and intrastate and interstate pipelines. Competition for volumes is primarily based on reputation, commercial terms, service levels, access to end-use markets, geographic proximity of existing assets to a producer's acreage and available capacity. We may also face competition to gather production outside of our AMIs and attract producer volumes to our gathering systems. Additionally, we could face incremental competition to the extent we make acquisitions.</w:t>
      </w:r>
    </w:p>
    <w:p>
      <w:pPr>
        <w:spacing w:after="0" w:line="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earn revenue by providing gathering, compression, treating and/or processing services pursuant to primarily long-term and fee-based gathering and processing agreements with some of the largest and most active producers in North America. The fee-based nature of these agreements enhances the stability of our cash flows by limiting our direct commodity price exposure.</w:t>
      </w:r>
    </w:p>
    <w:p>
      <w:pPr>
        <w:spacing w:after="0" w:line="7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significant features of our gathering and processing agreements and the gathering systems to which they relate are discussed in more detail below. For additional operating and financial performance information, on a consolidated basis and by reportable segment, see the "Results of Operations" section in Item 7. MD&amp;A.</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Areas of Mutual Interest. </w:t>
      </w:r>
      <w:r>
        <w:rPr>
          <w:rFonts w:ascii="Arial" w:cs="Arial" w:eastAsia="Arial" w:hAnsi="Arial"/>
          <w:sz w:val="18"/>
          <w:szCs w:val="18"/>
          <w:color w:val="auto"/>
        </w:rPr>
        <w:t>The vast majority of our gathering and processing agreements contain AMIs, some of which extend through 2036. The AMIs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require that any production by our customers within the AMIs will be shipped on and/or processed by our assets. In general, our customers have not leased acreage that cover our entire AMIs but, to the extent that they have leased acreage, or lease additional acreage in the future, within our AMIs, any production from wells drilled by them within that AMI will be dedicated to our systems.</w:t>
      </w:r>
    </w:p>
    <w:p>
      <w:pPr>
        <w:spacing w:after="0" w:line="7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certain of our gathering agreements, we have agreed to construct pipeline laterals to connect our gathering systems to producer pad sites located within the AMI. However, in certain circumstances we may choose not to fund a pad connection opportunity presented by a customer or we may choose not to fund capital calls in Ohio Gathering if we believe that the investment would not meet our internal return expectations. Under this scenario, the customer may, in certain circumstances, construct the infrastructure itself and sell it to us at a price equal to their cost plus an applicable profit margin, or, in some cases, we may release the relevant acreage dedication from the AMI. For Ohio Gathering, our joint venture partner may elect to fund 100% of the capital calls, if we choose not to fund our proportionate share of a given capital call, which could reduce our ownership interests in OGC and/or OCC. For example, in 2020, we chose not to fund capital calls at OGC and OCC, and as a result, our ownership interest in those ventures was reduced from 40% to 38.2% and 40% to 38.2%, respectively, as of December 31, 2020.</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Minimum Volume Commitments. </w:t>
      </w:r>
      <w:r>
        <w:rPr>
          <w:rFonts w:ascii="Arial" w:cs="Arial" w:eastAsia="Arial" w:hAnsi="Arial"/>
          <w:sz w:val="17"/>
          <w:szCs w:val="17"/>
          <w:color w:val="auto"/>
        </w:rPr>
        <w:t>Certain of our gathering and/or processing agreements contain MVCs which, like AMIs, benefit the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ongoing operation of a gathering system because they provide a minimum contracted monthly or annual revenue stream. As of December 31, 2020, we had remaining MVCs totaling 1.4 Tcfe. Our MVCs had a weighted-average remaining life of 4.9 years (assuming contracted MVCs for the remainder of the term) and average approximately 0.9 Bcfe/d through 2023. In addition, certain of our customers have an aggregate MVC, which is a total amount of volume throughput that the customer has agreed to ship and/or process on our systems (or an equivalent monetary amount) over the MVC term. In these cases, once a customer achieves its aggregate MVC, any remaining future MVCs will terminate and the customer will then simply pay the applicable gathering or processing rate multiplied by the actual throughput volumes shipped or processed, pursuant to the contract. As a result of this mechanism, in many cases, the weighted-average remaining period for which our MVCs apply is less than the weighted-average of the remaining contract life. For additional information on our MVCs, see Notes 3 and 8 to the consolidated financial statements.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financial results are primarily driven by volume throughput across our gathering systems and by expense management. During 2020, aggregate natural gas volume throughput averaged 1,375 MMcf/d and crude oil and produced water volume throughput averaged 79 Mbbl/d. A majority of the volumes that we gather, compress, treat and/or process have a fixed-fee rate structure, which enhances the stability of our cash flows by providing a revenue stream that is not subject to direct commodity price risk or volatility.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Williston Basin, Piceance Basin, and Permian Basin segments, (ii) the sale of natural gas we retain from certain Barnett Shale customers and (iii) the sale of condensate we retain from our gathering services in the Piceance Basin segment. During the year ended December 31, 2020, these additional activities accounted for approximately 13% of total revenues.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the vast majority of our gathering and/or processing agreements in both our Core Focus Areas and our Legacy Areas include AMIs. Our AMIs cover approximately 2.8 million surface acres in the aggregate, which includes more than 0.8 million surface acres associated with Ohio Gathering. Certain of our gathering and processing agreements also include MVCs. To the extent the customer does not meet its MVC, it is contractually obligated to make an MVC shortfall payment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by collecting gathering or processing fees on actual throughput or from cash payments to cover any MVC shortfall. As of December 31, 2020, we had remaining MVCs totaling 1.4 Tcfe. Our MVCs have a weighted-average remaining life of 4.9 years (assuming contracted MVCs for the remainder of the term) and average approximately 0.9 Bcfe/d through 2023.</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use a variety of financial and operational metrics to analyze our performance, including among others, throughput volume, revenues, operation and maintenance expenses and segment adjusted EBITDA. We view each of these operational and/or GAAP metrics as important factors in evaluating our profitability and determining whether, and what amount of cash distributions, we pay to our unitholders. For additional information on our results of operations, see the “Results of Operations” section included in Item 7. MD&amp;A.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Core Focus Areas and Legacy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Utica Shale (Core Focus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Utica Shale reportable segment as of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daily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capacity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MVCs through</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MVC life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2023 (MMcf/d)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MVCs (Bcf)</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Utica Shale</w:t>
            </w:r>
          </w:p>
        </w:tc>
        <w:tc>
          <w:tcPr>
            <w:tcW w:w="960" w:type="dxa"/>
            <w:vAlign w:val="bottom"/>
            <w:tcBorders>
              <w:top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Summit Utica system is a natural gas gathering system located in Belmont and Monroe counties in southeastern Ohio and serves producers targeting the dry gas window of the Utica and Point Pleasant shale formations. The Summit Utica system gathers and delivers natural gas, primarily under long-term, fee-based gathering agreements, which include acreage dedications. XTO and Ascent are the key customers of Summit Utica.</w:t>
      </w:r>
    </w:p>
    <w:p>
      <w:pPr>
        <w:spacing w:after="0" w:line="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connected a substantial number of our customers’ pad sites to our gathering system and we expect to benefit in the near-term from incremental volumes arising from drilling and completion activity that is occurring and will continue to occur on previously connected pad sites. Over time, we intend to expand our midstream service offering for the Summit Utica system to connect additional customer pad sites and install centralized compression facilities. Centralized compression services have been dedicated to us in our gathering agreements and will eventually constitute a new revenue stream from our customers; however, to date, this service has not been required given the relatively high downhole pressures exhibited by dry gas wells in the Utica Shale compared to other unconventional shale plays.</w:t>
      </w:r>
    </w:p>
    <w:p>
      <w:pPr>
        <w:spacing w:after="0" w:line="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Summit Utica system interconnects with the Ohio River System pipeline, which provides access to the Clarington Hub and Rover Pipeline. The Summit Utica system currently provides natural gas midstream services for the Utica Shale reportable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Ohio Gathering (Core Focus Area).</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Ohio Gathering comprises a natural gas gathering system and condensate stabilization facility located in the core of the Utica Shale in southeastern Ohio. The gathering system spans the condensate, liquids-rich and dry gas windows of the Utica Shale for multiple producers that are targeting production from the Utica and Point Pleasant shale formations across Belmont, Monroe, Guernsey, Harrison and Noble counties in southeastern Ohio and is operated by our partner, MPLX LP (“MPLX”). Substantially all gathering services on the Ohio Gathering system are provided pursuant to long-term, fee-based gathering agreements. Ascent and Gulfport are Ohio Gathering's key customers. AMIs for Ohio Gathering total approximately 825,000 surface acres in the aggregate.</w:t>
      </w:r>
    </w:p>
    <w:p>
      <w:pPr>
        <w:spacing w:after="0" w:line="5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Condensate and liquids-rich natural gas production is gathered, compressed, dehydrated and delivered to the Cadiz and Seneca processing complexes, which offer approximately 1.3 Bcf/d of processing capacity and are owned by a joint venture between MPLX and The Energy and Minerals Group. Dry gas production is gathered, dehydrated, compressed, and delivered to third-party pipelines serving the northeast and midwest markets.</w:t>
      </w:r>
    </w:p>
    <w:p>
      <w:pPr>
        <w:spacing w:after="0" w:line="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2020, we owned a 38.2% ownership interest in Ohio Gathering, which includes our ownership in OGC and OCC. For additional information, see Note 7 to the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(Core Focus Area).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operating information regarding our Williston Basin reportable segment as of December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daily</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1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capacity -</w:t>
            </w: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capacity -</w:t>
            </w: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MVCs</w:t>
            </w:r>
          </w:p>
        </w:tc>
        <w:tc>
          <w:tcPr>
            <w:tcW w:w="1020" w:type="dxa"/>
            <w:vAlign w:val="bottom"/>
          </w:tcPr>
          <w:p>
            <w:pPr>
              <w:jc w:val="center"/>
              <w:ind w:right="46"/>
              <w:spacing w:after="0" w:line="15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liquids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natural gas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through 2023</w:t>
            </w:r>
          </w:p>
        </w:tc>
        <w:tc>
          <w:tcPr>
            <w:tcW w:w="10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MVCs (Bcfe)</w:t>
            </w:r>
          </w:p>
        </w:tc>
        <w:tc>
          <w:tcPr>
            <w:tcW w:w="0" w:type="dxa"/>
            <w:vAlign w:val="bottom"/>
          </w:tcPr>
          <w:p>
            <w:pPr>
              <w:spacing w:after="0"/>
              <w:rPr>
                <w:sz w:val="1"/>
                <w:szCs w:val="1"/>
                <w:color w:val="auto"/>
              </w:rPr>
            </w:pPr>
          </w:p>
        </w:tc>
      </w:tr>
      <w:tr>
        <w:trPr>
          <w:trHeight w:val="162"/>
        </w:trPr>
        <w:tc>
          <w:tcPr>
            <w:tcW w:w="4740" w:type="dxa"/>
            <w:vAlign w:val="bottom"/>
            <w:vMerge w:val="restart"/>
          </w:tcPr>
          <w:p>
            <w:pPr>
              <w:spacing w:after="0"/>
              <w:rPr>
                <w:sz w:val="20"/>
                <w:szCs w:val="20"/>
                <w:color w:val="auto"/>
              </w:rPr>
            </w:pPr>
            <w:r>
              <w:rPr>
                <w:rFonts w:ascii="Arial" w:cs="Arial" w:eastAsia="Arial" w:hAnsi="Arial"/>
                <w:sz w:val="18"/>
                <w:szCs w:val="18"/>
                <w:color w:val="auto"/>
              </w:rPr>
              <w:t>Williston Basin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(Mbbl/d)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(MMcf/d)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(MMcfe/d)</w:t>
            </w:r>
            <w:r>
              <w:rPr>
                <w:rFonts w:ascii="Arial" w:cs="Arial" w:eastAsia="Arial" w:hAnsi="Arial"/>
                <w:sz w:val="12"/>
                <w:szCs w:val="12"/>
                <w:b w:val="1"/>
                <w:bCs w:val="1"/>
                <w:color w:val="auto"/>
                <w:w w:val="99"/>
              </w:rPr>
              <w:t>(1)</w:t>
            </w:r>
          </w:p>
        </w:tc>
        <w:tc>
          <w:tcPr>
            <w:tcW w:w="1020" w:type="dxa"/>
            <w:vAlign w:val="bottom"/>
          </w:tcPr>
          <w:p>
            <w:pPr>
              <w:jc w:val="center"/>
              <w:ind w:right="46"/>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4"/>
        </w:trPr>
        <w:tc>
          <w:tcPr>
            <w:tcW w:w="4740" w:type="dxa"/>
            <w:vAlign w:val="bottom"/>
            <w:vMerge w:val="continue"/>
          </w:tcPr>
          <w:p>
            <w:pPr>
              <w:spacing w:after="0"/>
              <w:rPr>
                <w:sz w:val="19"/>
                <w:szCs w:val="19"/>
                <w:color w:val="auto"/>
              </w:rPr>
            </w:pPr>
          </w:p>
        </w:tc>
        <w:tc>
          <w:tcPr>
            <w:tcW w:w="1020" w:type="dxa"/>
            <w:vAlign w:val="bottom"/>
            <w:tcBorders>
              <w:top w:val="single" w:sz="8" w:color="auto"/>
            </w:tcBorders>
          </w:tcPr>
          <w:p>
            <w:pPr>
              <w:jc w:val="right"/>
              <w:ind w:right="305"/>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34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34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346"/>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16198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9"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Contract terms related to MVCs are presented for liquids and natural gas on a combined basis.</w:t>
      </w:r>
    </w:p>
    <w:p>
      <w:pPr>
        <w:spacing w:after="0" w:line="10"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Weighted average based on total remaining MVC (total remaining MVCs multiplied by average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4"/>
          <w:szCs w:val="14"/>
          <w:b w:val="1"/>
          <w:bCs w:val="1"/>
          <w:color w:val="auto"/>
        </w:rPr>
        <w:t>Weighted-</w:t>
      </w:r>
      <w:r>
        <w:rPr>
          <w:sz w:val="20"/>
          <w:szCs w:val="20"/>
          <w:color w:val="auto"/>
        </w:rPr>
        <w:tab/>
      </w:r>
      <w:r>
        <w:rPr>
          <w:rFonts w:ascii="Arial" w:cs="Arial" w:eastAsia="Arial" w:hAnsi="Arial"/>
          <w:sz w:val="13"/>
          <w:szCs w:val="13"/>
          <w:b w:val="1"/>
          <w:bCs w:val="1"/>
          <w:color w:val="auto"/>
        </w:rPr>
        <w:t>Weighted-</w:t>
      </w:r>
    </w:p>
    <w:p>
      <w:pPr>
        <w:ind w:left="140"/>
        <w:spacing w:after="0" w:line="226" w:lineRule="auto"/>
        <w:tabs>
          <w:tab w:leader="none" w:pos="1200" w:val="left"/>
        </w:tabs>
        <w:rPr>
          <w:sz w:val="20"/>
          <w:szCs w:val="20"/>
          <w:color w:val="auto"/>
        </w:rPr>
      </w:pPr>
      <w:r>
        <w:rPr>
          <w:rFonts w:ascii="Arial" w:cs="Arial" w:eastAsia="Arial" w:hAnsi="Arial"/>
          <w:sz w:val="14"/>
          <w:szCs w:val="14"/>
          <w:b w:val="1"/>
          <w:bCs w:val="1"/>
          <w:color w:val="auto"/>
        </w:rPr>
        <w:t>average</w:t>
      </w:r>
      <w:r>
        <w:rPr>
          <w:sz w:val="20"/>
          <w:szCs w:val="20"/>
          <w:color w:val="auto"/>
        </w:rPr>
        <w:tab/>
      </w:r>
      <w:r>
        <w:rPr>
          <w:rFonts w:ascii="Arial" w:cs="Arial" w:eastAsia="Arial" w:hAnsi="Arial"/>
          <w:sz w:val="14"/>
          <w:szCs w:val="14"/>
          <w:b w:val="1"/>
          <w:bCs w:val="1"/>
          <w:color w:val="auto"/>
        </w:rPr>
        <w:t>average</w:t>
      </w:r>
    </w:p>
    <w:p>
      <w:pPr>
        <w:ind w:left="60"/>
        <w:spacing w:after="0" w:line="221" w:lineRule="auto"/>
        <w:tabs>
          <w:tab w:leader="none" w:pos="1120" w:val="left"/>
        </w:tabs>
        <w:rPr>
          <w:sz w:val="20"/>
          <w:szCs w:val="20"/>
          <w:color w:val="auto"/>
        </w:rPr>
      </w:pPr>
      <w:r>
        <w:rPr>
          <w:rFonts w:ascii="Arial" w:cs="Arial" w:eastAsia="Arial" w:hAnsi="Arial"/>
          <w:sz w:val="14"/>
          <w:szCs w:val="14"/>
          <w:b w:val="1"/>
          <w:bCs w:val="1"/>
          <w:color w:val="auto"/>
        </w:rPr>
        <w:t>remaining</w:t>
      </w:r>
      <w:r>
        <w:rPr>
          <w:sz w:val="20"/>
          <w:szCs w:val="20"/>
          <w:color w:val="auto"/>
        </w:rPr>
        <w:tab/>
      </w:r>
      <w:r>
        <w:rPr>
          <w:rFonts w:ascii="Arial" w:cs="Arial" w:eastAsia="Arial" w:hAnsi="Arial"/>
          <w:sz w:val="14"/>
          <w:szCs w:val="14"/>
          <w:b w:val="1"/>
          <w:bCs w:val="1"/>
          <w:color w:val="auto"/>
        </w:rPr>
        <w:t>remaining</w:t>
      </w:r>
    </w:p>
    <w:p>
      <w:pPr>
        <w:spacing w:after="0" w:line="222" w:lineRule="auto"/>
        <w:tabs>
          <w:tab w:leader="none" w:pos="1160" w:val="left"/>
        </w:tabs>
        <w:rPr>
          <w:sz w:val="20"/>
          <w:szCs w:val="20"/>
          <w:color w:val="auto"/>
        </w:rPr>
      </w:pPr>
      <w:r>
        <w:rPr>
          <w:rFonts w:ascii="Arial" w:cs="Arial" w:eastAsia="Arial" w:hAnsi="Arial"/>
          <w:sz w:val="14"/>
          <w:szCs w:val="14"/>
          <w:b w:val="1"/>
          <w:bCs w:val="1"/>
          <w:color w:val="auto"/>
        </w:rPr>
        <w:t>contract life</w:t>
      </w:r>
      <w:r>
        <w:rPr>
          <w:sz w:val="20"/>
          <w:szCs w:val="20"/>
          <w:color w:val="auto"/>
        </w:rPr>
        <w:tab/>
      </w:r>
      <w:r>
        <w:rPr>
          <w:rFonts w:ascii="Arial" w:cs="Arial" w:eastAsia="Arial" w:hAnsi="Arial"/>
          <w:sz w:val="14"/>
          <w:szCs w:val="14"/>
          <w:b w:val="1"/>
          <w:bCs w:val="1"/>
          <w:color w:val="auto"/>
        </w:rPr>
        <w:t>MVC life</w:t>
      </w:r>
    </w:p>
    <w:p>
      <w:pPr>
        <w:ind w:left="20"/>
        <w:spacing w:after="0"/>
        <w:tabs>
          <w:tab w:leader="none" w:pos="1080" w:val="left"/>
        </w:tabs>
        <w:rPr>
          <w:sz w:val="20"/>
          <w:szCs w:val="20"/>
          <w:color w:val="auto"/>
        </w:rPr>
      </w:pPr>
      <w:r>
        <w:rPr>
          <w:rFonts w:ascii="Arial" w:cs="Arial" w:eastAsia="Arial" w:hAnsi="Arial"/>
          <w:sz w:val="14"/>
          <w:szCs w:val="14"/>
          <w:b w:val="1"/>
          <w:bCs w:val="1"/>
          <w:color w:val="auto"/>
        </w:rPr>
        <w:t>(Years)</w:t>
      </w:r>
      <w:r>
        <w:rPr>
          <w:rFonts w:ascii="Arial" w:cs="Arial" w:eastAsia="Arial" w:hAnsi="Arial"/>
          <w:sz w:val="12"/>
          <w:szCs w:val="12"/>
          <w:b w:val="1"/>
          <w:bCs w:val="1"/>
          <w:color w:val="auto"/>
        </w:rPr>
        <w:t>(1)(2)</w:t>
      </w:r>
      <w:r>
        <w:rPr>
          <w:sz w:val="20"/>
          <w:szCs w:val="20"/>
          <w:color w:val="auto"/>
        </w:rPr>
        <w:tab/>
      </w:r>
      <w:r>
        <w:rPr>
          <w:rFonts w:ascii="Arial" w:cs="Arial" w:eastAsia="Arial" w:hAnsi="Arial"/>
          <w:sz w:val="13"/>
          <w:szCs w:val="13"/>
          <w:b w:val="1"/>
          <w:bCs w:val="1"/>
          <w:color w:val="auto"/>
        </w:rPr>
        <w:t>(Years)</w:t>
      </w:r>
      <w:r>
        <w:rPr>
          <w:rFonts w:ascii="Arial" w:cs="Arial" w:eastAsia="Arial" w:hAnsi="Arial"/>
          <w:sz w:val="11"/>
          <w:szCs w:val="11"/>
          <w:b w:val="1"/>
          <w:bCs w:val="1"/>
          <w:color w:val="auto"/>
        </w:rPr>
        <w:t>(1)(2)</w:t>
      </w:r>
    </w:p>
    <w:p>
      <w:pPr>
        <w:spacing w:after="0" w:line="9"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2.0</w:t>
      </w:r>
    </w:p>
    <w:p>
      <w:pPr>
        <w:spacing w:after="0" w:line="643" w:lineRule="exact"/>
        <w:rPr>
          <w:sz w:val="20"/>
          <w:szCs w:val="20"/>
          <w:color w:val="auto"/>
        </w:rPr>
      </w:pPr>
    </w:p>
    <w:p>
      <w:pPr>
        <w:sectPr>
          <w:pgSz w:w="11900" w:h="16838" w:orient="portrait"/>
          <w:cols w:equalWidth="0" w:num="2">
            <w:col w:w="9200" w:space="100"/>
            <w:col w:w="1840"/>
          </w:cols>
          <w:pgMar w:left="320" w:top="247" w:right="439" w:bottom="1440" w:gutter="0" w:footer="0" w:header="0"/>
        </w:sectPr>
      </w:pPr>
    </w:p>
    <w:p>
      <w:pPr>
        <w:spacing w:after="0"/>
        <w:rPr>
          <w:sz w:val="20"/>
          <w:szCs w:val="20"/>
          <w:color w:val="auto"/>
        </w:rPr>
      </w:pPr>
      <w:r>
        <w:rPr>
          <w:rFonts w:ascii="Arial" w:cs="Arial" w:eastAsia="Arial" w:hAnsi="Arial"/>
          <w:sz w:val="18"/>
          <w:szCs w:val="18"/>
          <w:color w:val="auto"/>
        </w:rPr>
        <w:t>AMIs for the Williston Basin reportable segment total approximately 1.2 million surface acres in the aggregate.</w:t>
      </w:r>
    </w:p>
    <w:p>
      <w:pPr>
        <w:spacing w:after="0" w:line="10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Polar and Divide. </w:t>
      </w:r>
      <w:r>
        <w:rPr>
          <w:rFonts w:ascii="Arial" w:cs="Arial" w:eastAsia="Arial" w:hAnsi="Arial"/>
          <w:sz w:val="16"/>
          <w:szCs w:val="16"/>
          <w:color w:val="auto"/>
        </w:rPr>
        <w:t>The Polar and Divide system, which is located primarily in Williams and Divide counties in northwestern North Dakota, owns, operates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Whiting, Zavanna and Bruin are the key customers of the Polar and Divide system.</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Crude oil that is gathered by the Polar and Divide system is delivered to interconnects with (i) the Dakota Access Pipeline, (ii) the COLT Hub rail facility,</w:t>
      </w:r>
    </w:p>
    <w:p>
      <w:pPr>
        <w:spacing w:after="0" w:line="46" w:lineRule="exact"/>
        <w:rPr>
          <w:sz w:val="20"/>
          <w:szCs w:val="20"/>
          <w:color w:val="auto"/>
        </w:rPr>
      </w:pPr>
    </w:p>
    <w:p>
      <w:pPr>
        <w:ind w:right="160" w:firstLine="8"/>
        <w:spacing w:after="0" w:line="260"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Enbridge Inc’s North Dakota Pipeline System and (iv) Global Partners LP's Basin Transload rail terminal. Produced water is delivered to third-party disposal facilities.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Polar and Divide system currently provides crude oil and produced water midstream services for the Williston Basin reportable segment.</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Bison Midstream. </w:t>
      </w:r>
      <w:r>
        <w:rPr>
          <w:rFonts w:ascii="Arial" w:cs="Arial" w:eastAsia="Arial" w:hAnsi="Arial"/>
          <w:sz w:val="18"/>
          <w:szCs w:val="18"/>
          <w:color w:val="auto"/>
        </w:rPr>
        <w:t>The Bison Midstream system is located in Mountrail and Burke counties in northwestern North Dakota. Bison Midstream gathers,</w:t>
      </w:r>
      <w:r>
        <w:rPr>
          <w:rFonts w:ascii="Arial" w:cs="Arial" w:eastAsia="Arial" w:hAnsi="Arial"/>
          <w:sz w:val="18"/>
          <w:szCs w:val="18"/>
          <w:i w:val="1"/>
          <w:iCs w:val="1"/>
          <w:color w:val="auto"/>
        </w:rPr>
        <w:t xml:space="preserve"> </w:t>
      </w:r>
      <w:r>
        <w:rPr>
          <w:rFonts w:ascii="Arial" w:cs="Arial" w:eastAsia="Arial" w:hAnsi="Arial"/>
          <w:sz w:val="18"/>
          <w:szCs w:val="18"/>
          <w:color w:val="auto"/>
        </w:rPr>
        <w:t>compresses and treats associated natural gas that exists in the crude oil stream produced from the Bakken and Three Forks shale formations. Our gathering agreements for the Bison Midstream system include long-term, fee-based or percent-of-proceeds contracts. Volume throughput on the Bison Midstream system is underpinned by acreage dedications and MVCs from its key customers. A large U.S. independent crude oil and natural gas company and Oasis are the key customers of Bison Midstream.</w:t>
      </w:r>
    </w:p>
    <w:p>
      <w:pPr>
        <w:spacing w:after="0" w:line="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Natural gas gathered on the Bison Midstream system is delivered to Aux Sable Midstream LLC's (“Aux Sable”) Palermo Conditioning Plant in Palermo, North Dakota and then delivered to downstream pipelines serving Aux Sable’s 2.1 Bcf/d natural gas processing plant in Channahon, Illinois.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Bison Midstream system currently provides associated natural gas midstream services for the Williston Basin reportable segment.</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47" w:right="4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DJ Basin (Core Focus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DJ Basin reportable segment as of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1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Average daily</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Remaining</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capacity</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MVCs through</w:t>
            </w: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11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remaining MVC</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2023 (MMcf/d)</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MVCs (Bcf)</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(Years)</w:t>
            </w:r>
            <w:r>
              <w:rPr>
                <w:rFonts w:ascii="Arial" w:cs="Arial" w:eastAsia="Arial" w:hAnsi="Arial"/>
                <w:sz w:val="12"/>
                <w:szCs w:val="12"/>
                <w:b w:val="1"/>
                <w:bCs w:val="1"/>
                <w:color w:val="auto"/>
                <w:w w:val="93"/>
              </w:rPr>
              <w:t>(1)</w:t>
            </w:r>
          </w:p>
        </w:tc>
        <w:tc>
          <w:tcPr>
            <w:tcW w:w="118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life (Years)</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DJ Basin</w:t>
            </w:r>
          </w:p>
        </w:tc>
        <w:tc>
          <w:tcPr>
            <w:tcW w:w="1120" w:type="dxa"/>
            <w:vAlign w:val="bottom"/>
            <w:tcBorders>
              <w:top w:val="single" w:sz="8" w:color="auto"/>
            </w:tcBorders>
            <w:shd w:val="clear" w:color="auto" w:fill="CFF0FC"/>
          </w:tcPr>
          <w:p>
            <w:pPr>
              <w:jc w:val="right"/>
              <w:ind w:right="404"/>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424"/>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442"/>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8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4"/>
        </w:trPr>
        <w:tc>
          <w:tcPr>
            <w:tcW w:w="2560" w:type="dxa"/>
            <w:vAlign w:val="bottom"/>
            <w:tcBorders>
              <w:bottom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0" w:hanging="192"/>
        <w:spacing w:after="0" w:line="215" w:lineRule="auto"/>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Weighted average based on total remaining MVC (total remaining MVCs multiplied by average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AMIs for the DJ Basin reportable segment total approximately 185,000 surface acres in the aggregate.</w:t>
      </w:r>
    </w:p>
    <w:p>
      <w:pPr>
        <w:spacing w:after="0" w:line="10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Niobrara G&amp;P system is located near Hereford, Colorado, in Weld County, the largest crude oil and natural gas producing county in the state. Gathering and processing services on the Niobrara G&amp;P system are provided pursuant to long-term, fee-based gathering agreements with producers that are primarily targeting crude oil production from the Niobrara and Codell shale formations. HighPoint and a large U.S. independent crude oil and natural gas company are the key customers of the Niobrara G&amp;P system and have underpinned our volume throughput with acreage dedications and MVCs.</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Niobrara G&amp;P system operates a low-pressure associated natural gas gathering system, and a cryogenic natural gas processing plant with processing capacity of 60 MMcf/d. The Niobrara G&amp;P system also processes liquids-rich natural gas that is produced by a customer in Laramie County, Wyoming and is delivered to the inlet of our processing plant by a third-party gathering system.</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Residue gas is delivered to the Colorado Interstate Gas and Trailblazer Pipeline and processed NGLs are delivered to the Overland Pass Pipeline.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Niobrara G&amp;P system currently provides midstream services for the DJ Basin reportable segment.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(Core Focus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Permian Basin reportable segment as of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daily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capacity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MVCs through</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MVC life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2023 (MMcf/d)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MVCs (Bcf)</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Permian Basin</w:t>
            </w:r>
            <w:r>
              <w:rPr>
                <w:rFonts w:ascii="Arial" w:cs="Arial" w:eastAsia="Arial" w:hAnsi="Arial"/>
                <w:sz w:val="15"/>
                <w:szCs w:val="15"/>
                <w:color w:val="auto"/>
              </w:rPr>
              <w:t>(1)</w:t>
            </w:r>
          </w:p>
        </w:tc>
        <w:tc>
          <w:tcPr>
            <w:tcW w:w="960" w:type="dxa"/>
            <w:vAlign w:val="bottom"/>
            <w:tcBorders>
              <w:top w:val="single" w:sz="8" w:color="auto"/>
            </w:tcBorders>
            <w:shd w:val="clear" w:color="auto" w:fill="CFF0FC"/>
          </w:tcPr>
          <w:p>
            <w:pPr>
              <w:jc w:val="right"/>
              <w:ind w:right="324"/>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54"/>
        </w:trPr>
        <w:tc>
          <w:tcPr>
            <w:tcW w:w="2560" w:type="dxa"/>
            <w:vAlign w:val="bottom"/>
            <w:tcBorders>
              <w:bottom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0" w:hanging="192"/>
        <w:spacing w:after="0" w:line="215"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Contract terms related to MVCs are excluded for confidentiality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AMIs for the Permian Basin reportable segment total approximately 89,000 surface acres in the aggregate.</w:t>
      </w:r>
    </w:p>
    <w:p>
      <w:pPr>
        <w:spacing w:after="0" w:line="10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Summit Permian system is an associated natural gas gathering and processing system operating in the northern Delaware Basin in Eddy and Lea counties in New Mexico. Gathering and processing services on the Summit Permian system are provided pursuant to long-term, fee-based gathering agreements with producers that are primarily targeting crude oil production from the Bone Spring and Wolfcamp shale formations. XTO is the key customer of the Summit Permian system.</w:t>
      </w:r>
    </w:p>
    <w:p>
      <w:pPr>
        <w:spacing w:after="0" w:line="7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Summit Permian system operates a low-pressure natural gas gathering system and a 60 MMcf/d cryogenic processing plant. Residue natural gas is delivered to the Transwestern Pipeline and processed NGLs are delivered to the Lone Star NGL Pipeline. Summit Permian provides services for the Permian Basin reportable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Double E (Core Focus Area).</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Double E is a 1.35 Bcf/d interstate natural gas transmission pipeline that is under development and will provide transportation service from multiple receipt points in the Delaware Basin to various delivery points in and around the Waha Hub in Texas. The Partnership owns 70% of Double E, is leading the development, permitting and construction of the pipeline, and will operate Double E upon commissioning. In January 2021, Double E received its Notice to Proceed with construction, as well as approval of its implementation plan, from FERC and expects the pipeline will be in-service by the end of 2021. Due to Double E’s early development status, its assets and operations are not included in a reportable segment.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Piceance Basin (Legacy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Piceance Basin reportable segment as of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18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Average daily</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throughput</w:t>
            </w:r>
          </w:p>
        </w:tc>
        <w:tc>
          <w:tcPr>
            <w:tcW w:w="12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Remaining</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capacity</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MVCs through</w:t>
            </w: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11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remaining MVC</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2023 (MMcf/d)</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MVCs (Bcf)</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(Years)</w:t>
            </w:r>
            <w:r>
              <w:rPr>
                <w:rFonts w:ascii="Arial" w:cs="Arial" w:eastAsia="Arial" w:hAnsi="Arial"/>
                <w:sz w:val="12"/>
                <w:szCs w:val="12"/>
                <w:b w:val="1"/>
                <w:bCs w:val="1"/>
                <w:color w:val="auto"/>
                <w:w w:val="93"/>
              </w:rPr>
              <w:t>(1)</w:t>
            </w:r>
          </w:p>
        </w:tc>
        <w:tc>
          <w:tcPr>
            <w:tcW w:w="118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life (Years)</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120" w:type="dxa"/>
            <w:vAlign w:val="bottom"/>
            <w:tcBorders>
              <w:top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rPr>
              <w:t>1,151</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44"/>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42"/>
              <w:spacing w:after="0"/>
              <w:rPr>
                <w:sz w:val="20"/>
                <w:szCs w:val="20"/>
                <w:color w:val="auto"/>
              </w:rPr>
            </w:pPr>
            <w:r>
              <w:rPr>
                <w:rFonts w:ascii="Arial" w:cs="Arial" w:eastAsia="Arial" w:hAnsi="Arial"/>
                <w:sz w:val="18"/>
                <w:szCs w:val="18"/>
                <w:color w:val="auto"/>
              </w:rPr>
              <w:t>603</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8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54"/>
        </w:trPr>
        <w:tc>
          <w:tcPr>
            <w:tcW w:w="2560" w:type="dxa"/>
            <w:vAlign w:val="bottom"/>
            <w:tcBorders>
              <w:bottom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0" w:hanging="192"/>
        <w:spacing w:after="0" w:line="215"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Weighted average based on total remaining MVC (total remaining MVCs multiplied by average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AMIs for the Piceance Basin reportable segment total approximately 654,000 surface acres in the aggregate.</w:t>
      </w:r>
    </w:p>
    <w:p>
      <w:pPr>
        <w:spacing w:after="0" w:line="10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Grand River is primarily located in Garfield County, one of the largest natural gas producing counties in Colorado. The Grand River system provides natural gas gathering services pursuant to primarily long-term and fee-based agreements with multiple producers, including its key customers, Caerus Oil and Gas and Terra Energy Partners. Volume throughput on the Grand River system is underpinned with acreage dedications and MVCs.</w:t>
      </w:r>
    </w:p>
    <w:p>
      <w:pPr>
        <w:spacing w:after="0" w:line="4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Grand River system is primarily a low-pressure gathering system located in western Colorado that gathers natural gas produced from directional wells targeting the liquids-rich Mesaverde formation. The Grand River system also gathers natural gas produced from the Mancos and Niobrara shale formations.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Natural gas gathered and/or processed on the Grand River system is compressed, dehydrated, processed and/or discharged to downstream pipelines serving</w:t>
      </w:r>
    </w:p>
    <w:p>
      <w:pPr>
        <w:spacing w:after="0" w:line="46" w:lineRule="exact"/>
        <w:rPr>
          <w:sz w:val="20"/>
          <w:szCs w:val="20"/>
          <w:color w:val="auto"/>
        </w:rPr>
      </w:pPr>
    </w:p>
    <w:p>
      <w:pPr>
        <w:jc w:val="both"/>
        <w:ind w:right="40" w:firstLine="8"/>
        <w:spacing w:after="0" w:line="253"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Meeker Processing Complex, (ii) the Williams Processing Complex and (iii) the TransColorado Pipeline system. Processed NGLs from Grand River are injected into the Mid-America Pipeline system or delivered to local markets. In addition, certain of our gathering agreements with our customers on the Grand River system permit us to retain, and monetize for our own account, condensate volumes that naturally discharge from the liquids-rich natural gas as it moves across our system.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Grand River system currently provides midstream services for the Piceance Basin reportable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Barnett Shale (Legacy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Barnett Shale reportable segment as of December 31,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Throughput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daily</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Remaining MVCs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capacity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MVCs through</w:t>
            </w: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remaining MVC</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(MMcf/d)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2023 (MMcf/d)</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(Bcf)</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(Years)</w:t>
            </w:r>
            <w:r>
              <w:rPr>
                <w:rFonts w:ascii="Arial" w:cs="Arial" w:eastAsia="Arial" w:hAnsi="Arial"/>
                <w:sz w:val="12"/>
                <w:szCs w:val="12"/>
                <w:b w:val="1"/>
                <w:bCs w:val="1"/>
                <w:color w:val="auto"/>
                <w:w w:val="93"/>
              </w:rPr>
              <w:t>(1)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life (Years)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140" w:type="dxa"/>
            <w:vAlign w:val="bottom"/>
            <w:tcBorders>
              <w:top w:val="single" w:sz="8" w:color="auto"/>
            </w:tcBorders>
            <w:shd w:val="clear" w:color="auto" w:fill="CFF0FC"/>
          </w:tcPr>
          <w:p>
            <w:pPr>
              <w:jc w:val="right"/>
              <w:ind w:right="364"/>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54"/>
        </w:trPr>
        <w:tc>
          <w:tcPr>
            <w:tcW w:w="2560" w:type="dxa"/>
            <w:vAlign w:val="bottom"/>
            <w:tcBorders>
              <w:bottom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0" w:hanging="192"/>
        <w:spacing w:after="0" w:line="215"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color w:val="auto"/>
        </w:rPr>
        <w:t>Weighted average based on total remaining MVC (total remaining MVCs multiplied by average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AMIs for the Barnett Shale reportable segment total approximately 124,000 surface acres.</w:t>
      </w:r>
    </w:p>
    <w:p>
      <w:pPr>
        <w:spacing w:after="0" w:line="1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DFW Midstream system is primarily located in southeastern Tarrant County, in north-central Texas. We consider this area to be the core of the core of the Barnett Shale because of the quality of the geology and the high production profile of the wells drilled to date. The DFW Midstream system is underpinned by a long-term, fee-based gathering agreement with Total and additional customers.</w:t>
      </w:r>
    </w:p>
    <w:p>
      <w:pPr>
        <w:spacing w:after="0" w:line="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pass through a portion of the power expense to our customers or retain a fixed percentage of the natural gas that we gather.</w:t>
      </w:r>
    </w:p>
    <w:p>
      <w:pPr>
        <w:spacing w:after="0" w:line="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DFW Midstream system currently has six primary interconnections with third-party, primarily intrastate pipelines. These interconnections enable us to connect our customers, directly or indirectly, with the major natural gas market hubs in Texas and Louisiana. Total Gas &amp; Power North America, Inc. ("Total") is the key customer for DFW Midstream.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DFW Midstream system currently provides midstream services for the Barnett Shale reportable segment.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Marcellus Shale (Legacy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Marcellus Shale reportable segment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Throughput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daily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capacity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MVCs through</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contract life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MVC life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2023 (MMcf/d)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MVCs (Bcf)</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Marcellus Shale</w:t>
            </w:r>
            <w:r>
              <w:rPr>
                <w:rFonts w:ascii="Arial" w:cs="Arial" w:eastAsia="Arial" w:hAnsi="Arial"/>
                <w:sz w:val="15"/>
                <w:szCs w:val="15"/>
                <w:color w:val="auto"/>
              </w:rPr>
              <w:t>(1)</w:t>
            </w:r>
          </w:p>
        </w:tc>
        <w:tc>
          <w:tcPr>
            <w:tcW w:w="9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68"/>
        </w:trPr>
        <w:tc>
          <w:tcPr>
            <w:tcW w:w="256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00" w:hanging="192"/>
        <w:spacing w:after="0" w:line="202" w:lineRule="auto"/>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4"/>
          <w:szCs w:val="14"/>
          <w:color w:val="auto"/>
        </w:rPr>
        <w:t>Contract terms related to MVCs are excluded for confidentiality purposes.</w:t>
      </w:r>
    </w:p>
    <w:p>
      <w:pPr>
        <w:spacing w:after="0" w:line="117"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The Mountaineer Midstream system is located in Doddridge and Harrison counties in West Virginia where it gathers natural gas under a long-term, fee-based contract with Antero, which is targeting liquids-rich natural gas production from the Marcellus Shale formation in the Appalachian Basin. Volume throughput on the Mountaineer Midstream system is underpinned by minimum revenue commitments from Antero.</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Mountaineer Midstream system consists of a high-pressure natural gas gathering system and two compressor stations. This system gathers high-pressure natural gas received from upstream pipeline interconnections with Antero Midstream Corporation and Crestwood Equity Partners LP. Mountaineer Midstream serves as a critical inlet to the Sherwood Processing Complex, a primary destination for liquids-rich natural gas in northern West Virginia and one of the largest natural gas processing facilities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Mountaineer Midstream system currently provides midstream services for the Marcellus Shale reportable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relating to our business and gathering systems, see the "Trends and Outlook" and "Results of Operations" sections in Item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MD&amp;A.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systems that we operate and/or have significant ownership interests in have a diverse group of customers and counterparties comprising affiliates and/or subsidiaries of some of the largest natural gas and crude oil producers in North America.</w:t>
      </w:r>
    </w:p>
    <w:p>
      <w:pPr>
        <w:spacing w:after="0" w:line="6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We believe that our gathering systems in the Core Focus Areas are positioned for long-term growth through further development by our customers and increased utilization of our gathering systems. We intend to continue expanding our operations and creating additional scale in our Core Focus Areas through the execution of new, and the expansion of existing, strategic partnerships with our existing and prospective customers.</w:t>
      </w:r>
    </w:p>
    <w:p>
      <w:pPr>
        <w:spacing w:after="0" w:line="4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believe that our customers in our Legacy Areas will pursue a slower pace of drilling and completion activity than customers in our Core Focus Areas. As a result, volume throughput in our Legacy Areas could decline or experience a lower rate of growth than our gathering systems in our Core Focus Areas. In general, our gathering systems in our Legacy Areas have a more mature base of connected wells, larger and longer-lived MVCs and experience lower volume throughput decline rates as compared to our gathering systems in our Core Focus Areas. We will continue to evaluate divestitures or joint ventures of certain of our gathering systems included in our Core Focus Areas or our Legacy Areas, which could result in a reallocation of capital or other resources to repay outstanding debt and other liabilities and fixed capital obligations, or re-invest in our Core Focus Areas.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Natural Gas and Crude Oil Industries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Sales by producers of natural gas, crude oil, condensate and NGLs are currently made at market prices. However, gathering and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are subject to various types of 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 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Regulation of Crude Oil and Natural Gas Exploration, Production and Sales. </w:t>
      </w:r>
      <w:r>
        <w:rPr>
          <w:rFonts w:ascii="Arial" w:cs="Arial" w:eastAsia="Arial" w:hAnsi="Arial"/>
          <w:sz w:val="18"/>
          <w:szCs w:val="18"/>
          <w:color w:val="auto"/>
        </w:rPr>
        <w:t>Sales of crude oil and NGLs are not currently regulated and are transacted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market prices. In 1989, the U.S. Congress 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spacing w:after="0" w:line="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Regulation of the Gathering and Transportation of Natural Gas and Crude Oil. </w:t>
      </w:r>
      <w:r>
        <w:rPr>
          <w:rFonts w:ascii="Arial" w:cs="Arial" w:eastAsia="Arial" w:hAnsi="Arial"/>
          <w:sz w:val="17"/>
          <w:szCs w:val="17"/>
          <w:color w:val="auto"/>
        </w:rPr>
        <w:t>We believe that the majority of our natural gas pipeline facilities qualify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gathering facilities that are exempt from the jurisdiction of FERC. Our Epping Pipeline interstate crude oil pipeline in North Dakota, which is owned and operated by Epping, is subject to FERC’s jurisdiction and oversight pursuant to FERC's authority under the ICA, and Epping has on file with FERC a tariff for interstate movements of crude oil on the pipeline. Additionally, in October 2020, Double E received FERC approval of its application to construct and operate the Double E Project, pursuant to Section 7(c) of the Natural Gas Act. The Double E Project is anticipated to provide interstate natural gas transmission service from the Delaware Basin in southeastern New Mexico to delivery points in and around the Waha Hub in Texas, will be subject to FERC jurisdiction. In 2018, FERC solicited public comment on its current policy on the certification of construction of new pipeline facilities, although it has not made any determinations yet on whether to make any changes to that policy. 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 FERC’s ICA jurisdiction, rates for interstate movements of liquids by pipeline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For the five-year period beginning on July 1, 2016, FERC established an annual index adjustment equal to the change in the producer price index for finished goods plus 1.23%. In 2016, FERC proposed a policy change that would deny proposed index increases for pipelines under certain circumstances where revenues exceed cost-of-service by a certain percentage or where the proposed index increases exceed certain annual cost changes reported to FERC. FERC terminated this rulemaking on February 20, 2020 without adopting any part of the proposal. FERC completed its five-year review of its index adjustment by issuing an order on December 17, 2020 adopting a new annual index adjustment of the producer price index for finished goods plus 0.78% to become effective starting July 1, 2021. FERC’s order is subject to rehearing and possible judicial review.</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 The rates charged by Epping may also be affected by FERC’s March 15, 2018 announcement of a revised policy eliminating the recovery of an income tax allowance in cost-of-service-based rates by FERC-jurisdictional crude oil and natural gas pipelines owned by master limited partnerships. FERC has not required oil pipelines on an industry-wide basis to decrease their rates to implement the new policy, but FERC has stated that the effects of the revised policy statement must be incorporated in annual FERC financial reports made by oil pipelines. The effect of the elimination of the income tax allowance for MLP pipelines, as well as the reduction in the corporate income tax rate resulting from the Tax Cuts and Jobs Act of 2017 (the “Tax Reform Legislation”), was considered in FERC’s five-year review of index rate adjustments which resulted in the December 17, 2020 order adopting a new annual index adjustment for the five-year period starting July 1, 2021.</w:t>
      </w:r>
    </w:p>
    <w:p>
      <w:pPr>
        <w:spacing w:after="0" w:line="7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Epping’s ability to set rates based on costs or could order reduced rates and reparations to complaining shippers for up to two years prior to the date of a complaint. FERC also has the authority to change terms and conditions of service if it determines that they are unjust and unreasonable or unduly discriminatory or preferential. The ICA also imposes potential criminal liability for certain violations of the statute.</w:t>
      </w:r>
    </w:p>
    <w:p>
      <w:pPr>
        <w:spacing w:after="0" w:line="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Intrastate pipelines, which may include some pipelines that perform gathering functions, may be subject to safety regulation by the DOT, although typically state regulatory authorities (operating under a federal 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 For example, the North Dakota Industrial Commission (“NDIC”) recently adopted rule changes that resulted in additional construction and monitoring requirements for all pipelines, including, but not limited to, those that transport produced water, and has recently adopted reclamation bonding requirements for certain underground gathering pipelines in North Dakota.</w:t>
      </w:r>
    </w:p>
    <w:p>
      <w:pPr>
        <w:spacing w:after="0" w:line="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Anti-Market Manipulation Rules. </w:t>
      </w:r>
      <w:r>
        <w:rPr>
          <w:rFonts w:ascii="Arial" w:cs="Arial" w:eastAsia="Arial" w:hAnsi="Arial"/>
          <w:sz w:val="16"/>
          <w:szCs w:val="16"/>
          <w:color w:val="auto"/>
        </w:rPr>
        <w:t>We are subject to the anti-market manipulation provisions in the NGA and the NGPA, as amended by the Energy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2005, which authorize FERC to impose fines of up to $1,307,164 per day per violation of the NGA, the NGPA, or their implementing regulations, subject to future adjustments for inflation. In addition, the FTC holds statutory authority under the Energy Independence and Security Act of 2007 to prevent market manipulation in petroleum markets, including the authority to request that a court impose fines of up to $1,246,249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$1,227,202 per day per violation, subject to future adjustment for inflation, or triple the monetary gain to the violator for violations of the anti-market manipulation sections of the CEA. We are also subject to various reporting requirements that are designed to facilitate transparency and prevent market manipulation.</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Safety and Maintenance. </w:t>
      </w:r>
      <w:r>
        <w:rPr>
          <w:rFonts w:ascii="Arial" w:cs="Arial" w:eastAsia="Arial" w:hAnsi="Arial"/>
          <w:sz w:val="17"/>
          <w:szCs w:val="17"/>
          <w:color w:val="auto"/>
        </w:rPr>
        <w:t>We are subject to regulation by the DOT, which establishes federal safety standards for the design, construction, operation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of natural gas and crude oil pipeline facilities. In the Pipeline Safety Act of 1992, Congress expanded the DOT's regulatory authority to include regulated gathering lines that had previously been exempt from federal jurisdiction. Additional legislation has been passed over the years to reauthorize federal funding for federal pipeline programs, increase penalties for safety violations and establish additional safety requirements. For example,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programs for certain pipelines located in high consequence areas, which include high-population areas such as the Dallas-Fort Worth greater metropolitan area where our DFW Midstream system is located. While the majority of our pipelines meet the DOT definition of gathering lines and are thus currently exempt from the integrity management requirements of PHMSA, we also operate a limited number of pipelines that are subject to the integrity management requirements. Those regulations require operators, including us, to:</w:t>
      </w:r>
    </w:p>
    <w:p>
      <w:pPr>
        <w:spacing w:after="0" w:line="79"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processes for data collection, integration and analysis;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repair and remediate pipelines as necessary;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 and maintain procedures, standards and training programs for control room operations;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October 2019, the PHMSA issued three new final rules. One rule, which became effective in December 2019,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which became effective in July 2020,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PHMSA modified the rule in July 2020, in response to a petition for reconsideration, to limit the rule’s recordkeeping requirement related to class location changes to gas transmission pipelines (not gas distribution pipelines) and to clarify that the rule’s reconfirmation requirements related to MAOP is limited to segments without traceable, verifiable and complete pressure test records.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w:t>
      </w:r>
    </w:p>
    <w:p>
      <w:pPr>
        <w:spacing w:after="0" w:line="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Gathering systems like ours are also subject to a number of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operation of pipelines and other assets for the gathering, treating and/or processing of natural gas and the gathering of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is subject to stringent 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spacing w:after="0" w:line="79"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the installation of pollution-control equipment or otherwise restricting the way we operate;</w:t>
      </w:r>
    </w:p>
    <w:p>
      <w:pPr>
        <w:spacing w:after="0" w:line="117"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or prohibiting construction activities in sensitive areas, such as wetlands, coastal regions or areas inhabited by endangered or threatened species;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delaying system modification or upgrades during permit reviews;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investigatory and remedial actions to mitigate pollution conditions caused by our operations or attributable to former operations; and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2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enjoining the operations of facilities deemed to be in non-compliance with permits or permit requirements issued pursuant to or imposed by such environmental laws and regulations.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trend in environmental regulation is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material environmental laws and regulations that relate to our business.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Hazardous Substances and Waste. </w:t>
      </w:r>
      <w:r>
        <w:rPr>
          <w:rFonts w:ascii="Arial" w:cs="Arial" w:eastAsia="Arial" w:hAnsi="Arial"/>
          <w:sz w:val="17"/>
          <w:szCs w:val="17"/>
          <w:color w:val="auto"/>
        </w:rPr>
        <w:t>Our operations are subject to environmental laws and regulations relating to the management and release of solid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hazardous wastes and other substances, 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spacing w:after="0" w:line="7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w:t>
      </w:r>
    </w:p>
    <w:p>
      <w:pPr>
        <w:spacing w:after="0" w:line="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Our operations are subject to the federal CAA and comparable state and local laws and regulations. These laws and regulations regulate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emissions of air pollutants from various 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2015, the EPA issued a new lower NAAQS for ozone. The previous ozone standard was set at 75 parts per billion ("ppb"). The revised standard has been lowered to 70 ppb. The lowered ozone NAAQS could subject us to increased regulatory burdens in the form of more stringent emission controls, emission offset requirements and increased permitting delays and costs. Impacts from the 2015 standard have not yet been determined, as states are still in the process of incorporating the new standard into their respective state implementation plans. We will continue to monitor developments to determine if any adverse effects on our operations can be expected.</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3,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The revised rule applies to sources that have been modified, constructed, or reconstructed after September 18, 2015. In August 2020, the EPA issued two final rules that rescinded the methane-specific requirements of NSPS OOOO and OOOOa applicable to sources in the production and processing segments and removed the transmission and storage segment from the source category. However, these 2020 rules are being challenged in the U.S. Court of Appeals for the D.C. Circuit. In addition, President Biden’s January 20, 2021 Executive Order on “Protecting Public Health and the Environment and Restoring Science to Tackle the Climate Crisis” directed EPA to consider publishing a proposed rule suspending, revising, or rescinding the 2020 rules, as well as to consider establishing methane and VOC emission standards for existing sources in the oil and gas sector, including the transportation and storage segments.</w:t>
      </w:r>
    </w:p>
    <w:p>
      <w:pPr>
        <w:spacing w:after="0" w:line="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November 16, 2016 the Bureau of Land Management ("BLM") issued a final rule to reduce venting and flaring of natural gas on public and Indian lands. The final rule mirrors many of the requirements found in NSPS OOOOa, with additional natural gas royalty requirements for flared volumes at sites already connected to gas capture infrastructure. In September 2018, the BLM published a final rule that rescinded several requirements of this rule. However, in July 2020, the U.S. District Court for the Northern District of California vacated BLM’s 2018 revision rule. In addition, in October 2020, a Wyoming federal district judge vacated the 2016 venting and flaring rule. Environmental groups appealed the October 2020 decision in December 2020 and litigation is ongoing. While the rule, if implemented, is expected to have little or no direct impact on our operations, our customers that are primarily upstream wellhead operators may be impacted by the requirements in this rule.</w:t>
      </w:r>
    </w:p>
    <w:p>
      <w:pPr>
        <w:spacing w:after="0" w:line="6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recent years, the EPA has also demonstrated an increased focus on CAA compliance for natural gas gathering operations. For example, in September 2019, EPA issued an enforcement alert noting that EPA identified CAA noncompliance caused by unauthorized and/or excess emissions from depressurizing pig launchers and receivers in natural gas gathering operations. The alert discussed engineering, design, operations, and maintenance practices that EPA found that can cause noncompliance and summarizes engineering solutions to reduce emissions. This increased focus on natural gas gathering operations and any resulting enforcement actions by EPA or state agencies could subject us to monetary penalties, injunctions, conditions or restrictions on operations.</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CWA and analogous state laws impose restrictions and strict controls regarding the discharge of pollutants into regulated waters,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impacts our ability to conduct 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spacing w:after="0" w:line="7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Oil Pollution Control Act. </w:t>
      </w:r>
      <w:r>
        <w:rPr>
          <w:rFonts w:ascii="Arial" w:cs="Arial" w:eastAsia="Arial" w:hAnsi="Arial"/>
          <w:sz w:val="16"/>
          <w:szCs w:val="16"/>
          <w:color w:val="auto"/>
        </w:rPr>
        <w:t>The OPA requires the preparation of an SPCC plan for facilities engaged in drilling, producing, gathering, storing, processing,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refining, transferring, distributing, using, or consuming oil and oil products, and which due to their location, could reasonably be expected to discharge oil in harmful quantities into or upon the navigable waters of the United States.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(intrafacility piping), inspections and records, security and training. Certain of our facilities are classified as SPCC-regulated facilities. We believe that they are in substantial compliance with all applicable requirements of OPA.</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Hydraulic Fracturing. </w:t>
      </w:r>
      <w:r>
        <w:rPr>
          <w:rFonts w:ascii="Arial" w:cs="Arial" w:eastAsia="Arial" w:hAnsi="Arial"/>
          <w:sz w:val="16"/>
          <w:szCs w:val="16"/>
          <w:color w:val="auto"/>
        </w:rPr>
        <w:t>Hydraulic fracturing is an important and increasingly common practice that is used to stimulate production of natural gas and/or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crude oil from dense subsurface rock formations and is primarily presently regulated by state agencies. However, Congress has in the past and may in the future consider legislation to regulate hydraulic fracturing by federal agencies or limit the ability of companies to engage in hydraulic fracturing. Many states have already adopted laws and/or regulations that require disclosure of the chemicals used in hydraulic fracturing. A number of states have adopted, and other states are considering adopting, legal requirements that could impose more stringent permitting, disclosure and well construction requirements on oil and/or natural gas drilling activities. For example, a Colorado ballot initiative, Proposition 112, would have substantially increased setback distances for various upstream activities, thereby substantially restricting new oil and gas development in the state. Although Proposition 112 was defeated in the November 2018 elections, similar ballot initiatives have been circulated by interested groups for potential consideration in elections. Further, Colorado Senate Bill 19-181, signed into law in April 2019, changed the mandate of the Colorado Oil and Gas Conservation Commission (“COGCC”), the state’s oil and gas regulator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and reduced the oil and gas representation on the COGCC. Further, in November 2020, the COGCC adopted new regulations that increase oil and gas setbacks to a minimum of 2,000 feet from schools and childcare facilities, prohibit routine venting and flaring, increase wildlife protections, and alter certain aspects of the permitting process. These regulations and similar efforts in Colorado and elsewhere could restrict oil and gas development in the future.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w:t>
      </w:r>
    </w:p>
    <w:p>
      <w:pPr>
        <w:spacing w:after="0" w:line="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EPA has also moved forward with various regulatory actions, including approving new regulations requiring green completions of hydraulically-fractured wells and corresponding reporting requirements that went into effect in 2015. Revisions to the green completion regulations were finalized in June 2016 and include additional requirements to reduce methane and VOCs. In August 2020, the EPA issued two final rules that rescinded the methane-specific requirements of these regulations applicable to sources in the production and processing segments and removed the transmission and storage segment from the source category. However, these 2020 rules are being challenged in the U.S. Court of Appeals for the D.C. Circuit. In addition, President Biden’s January 20, 2021 Executive Order on “Protecting Public Health and the Environment and Restoring Science to Tackle the Climate Crisis” directed EPA to consider publishing a proposed rule suspending, revising, or rescinding the 2020 rules as well as to consider establishing methane and VOC emission standards for existing sources in the oil and gas sector, including the transportation and storage segments. The BLM has also asserted regulatory authority over aspects of the hydraulic fracturing process, and issued a final rule in March 2015 that established more stringent standards for performing hydraulic fracturing on federal and Indian lands. However, in December 2017, the BLM published a final rule rescinding the 2015 rule. The U.S. District Court for the Northern District of California upheld the December 2017 rescission rule in a March 2020 decision. The State of California and environmental plaintiffs then appealed the decision in June 2020. Litigation is currently ongoing.</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several federal governmental agencies have conducted reviews and studies on the environmental aspects of hydraulic fracturing, including the EPA. The results of such reviews or studies could spur initiatives to further regulate hydraulic fracturing.</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State and federal regulatory agencies recently have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Endangered Species Act. </w:t>
      </w:r>
      <w:r>
        <w:rPr>
          <w:rFonts w:ascii="Arial" w:cs="Arial" w:eastAsia="Arial" w:hAnsi="Arial"/>
          <w:sz w:val="18"/>
          <w:szCs w:val="18"/>
          <w:color w:val="auto"/>
        </w:rPr>
        <w:t>The Endangered Species Act restricts activities that may affect endangered or threatened species or their habitats. Some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pipelines may be located in areas that are designated as habitats for endangered or threatened species.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National Environmental Policy Act. </w:t>
      </w:r>
      <w:r>
        <w:rPr>
          <w:rFonts w:ascii="Arial" w:cs="Arial" w:eastAsia="Arial" w:hAnsi="Arial"/>
          <w:sz w:val="18"/>
          <w:szCs w:val="18"/>
          <w:color w:val="auto"/>
        </w:rPr>
        <w:t>The NEPA establishes a national environmental policy and goals for the protection, maintenance and enhancement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environment and provides a process for implementing these goals within federal agencies. Major projects having the potential to significantly impact the environment require review under NEPA. Many of our activities are covered under categorical exclusions which results in an expedited NEPA review process. Large upstream and downstream projects with significant cumulative impacts may be subject to longer NEPA review processes, which could impact the timing of those projects and our services associated with them.</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EPA has adopted regulations under the CAA that, among other things, establish GHG emission limits from motor vehicles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PSD construction and Title V operating permit reviews for 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EPA rules also require the reporting of GHG emissions from specified large GHG-emitting sources in the United States,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focused on large sources of GHG emissions, such as electric power plants, it is possible that certain components of our operations, such as our gas-fired compressors, could become subject to state-level GHG-related regulation.</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In addition, shortly after taking office in January 2021, President Biden issued a series of executive orders designed to address climate change. Reentry into the Paris Agreement and President Biden’s executive orders may result in the development of additional regulations or changes to existing regulations, which could have a material adverse effect on our business and that of our customers.</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Legislation or regulations that may be adopted to address climate change could also affect the markets for our products by making our products more or less desirable than competing sources of energy.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 xml:space="preserve">Human Capital Resources. </w:t>
      </w:r>
      <w:r>
        <w:rPr>
          <w:rFonts w:ascii="Arial" w:cs="Arial" w:eastAsia="Arial" w:hAnsi="Arial"/>
          <w:sz w:val="18"/>
          <w:szCs w:val="18"/>
          <w:color w:val="auto"/>
        </w:rPr>
        <w:t>We recognize that our continued ability to attract, retain and motivate exceptional employees is vital to ensuring our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 advantage and the ability to create value for our unitholders. Our employees are critical to our long-term success and are essential to helping us meet our goals. Among other things, we support and incentivize our employees in the following ways:</w:t>
      </w:r>
    </w:p>
    <w:p>
      <w:pPr>
        <w:spacing w:after="0" w:line="76" w:lineRule="exact"/>
        <w:rPr>
          <w:sz w:val="20"/>
          <w:szCs w:val="20"/>
          <w:color w:val="auto"/>
        </w:rPr>
      </w:pPr>
    </w:p>
    <w:p>
      <w:pPr>
        <w:ind w:left="800" w:right="20" w:hanging="401"/>
        <w:spacing w:after="0" w:line="255"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Talent development, compensation and retention – We strive to provide our employees with a rewarding work environment, including the opportunity for success and a platform for personal and professional development. We provide a competitive benefits package designed to attract and retain a skilled and diverse workforce. We offer our employees a comprehensive benefits package, which includes company funded health plan options, vision and dental coverage, healthcare savings account, paid time off, parental leave and flexible spending accounts. We also provide professional training and development opportunities as well as education reimbursement. We also offer employees immediate eligibility in our 401(k) plan with company matching program.</w:t>
      </w:r>
    </w:p>
    <w:p>
      <w:pPr>
        <w:spacing w:after="0" w:line="84"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Health and safety – Employee health and safety in the workplace is one of our core values. Some of the ways in which we support the health and safety of our employees include wellness programs with incentives and employee assistance programs.</w:t>
      </w:r>
    </w:p>
    <w:p>
      <w:pPr>
        <w:spacing w:after="0" w:line="62" w:lineRule="exact"/>
        <w:rPr>
          <w:rFonts w:ascii="Arial" w:cs="Arial" w:eastAsia="Arial" w:hAnsi="Arial"/>
          <w:sz w:val="18"/>
          <w:szCs w:val="18"/>
          <w:color w:val="auto"/>
        </w:rPr>
      </w:pPr>
    </w:p>
    <w:p>
      <w:pPr>
        <w:ind w:left="800" w:right="82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Inclusion and diversity – We are committed to efforts to increase diversity and foster an inclusive work environment that supports our workforce.</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to the variety of support services we provide to our employees under normal circumstances, our top priority during the ongoing COVID-19 pandemic remains protecting the health and well-being of our employees, customers, partners and communities. Since the onset of the COVID-19 pandemic, we have maintained a work-from-home policy for substantially all our employees, significantly limited business travel, and we have taken an integrated approach to helping our employees manage their work and personal responsibilities, with a strong focus on employee physical and mental health.</w:t>
      </w:r>
    </w:p>
    <w:p>
      <w:pPr>
        <w:spacing w:after="0" w:line="4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As of December 31, 2020, the Partnership employed 220 people who provide direct, full-time support to our operations. None of our employees are covered by collective bargaining agreements, and we have never experienced any business interruption as a result of any labor disputes.</w:t>
      </w:r>
    </w:p>
    <w:p>
      <w:pPr>
        <w:spacing w:after="0" w:line="16"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b w:val="1"/>
          <w:bCs w:val="1"/>
          <w:i w:val="1"/>
          <w:iCs w:val="1"/>
          <w:color w:val="auto"/>
        </w:rPr>
        <w:t xml:space="preserve">Availability of Reports. </w:t>
      </w:r>
      <w:r>
        <w:rPr>
          <w:rFonts w:ascii="Arial" w:cs="Arial" w:eastAsia="Arial" w:hAnsi="Arial"/>
          <w:sz w:val="18"/>
          <w:szCs w:val="18"/>
          <w:color w:val="auto"/>
        </w:rPr>
        <w:t>We make certain filings with the SEC, including, among other filings, our annual report on Form 10-K, quarterly reports on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current reports on Form 8-K and all amendments and exhibits to those reports, available free of charge through our</w:t>
      </w:r>
    </w:p>
    <w:p>
      <w:pPr>
        <w:spacing w:after="0" w:line="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website, www.summitmidstream.com, as soon as reasonably practicable after the date they are filed with, or furnished to, the SEC. The SEC maintains an Internet site that contains reports, proxy and information statements, and other information regarding issuers that file electronically with the SEC through the SEC’s website, http://www.sec.gov. Our press releases and recent investor presentations are also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You should carefully consider the following risk factors in addition to the other information included in this Annual Report. Each of these risk factors could adversely affect our business, operating results and financial condition, as well as adversely affect the value of an investment in our common units: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COVID-19 pandemic, coupled with other current pressures on oil and gas prices resulting from the OPEC price war, has had, and is expected to continue to have, an adverse impact on our business, results of operations, financial position and cash flows.</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ongoing COVID-19 outbreak continues to be a rapidly evolving situation. As of February 20, 2021, the CDC had recorded over 27.8 million cases in the United States and over 490,000 deaths. The pandemic has resulted in widespread adverse impacts on the global economy and on our business, including our customers, employees, supply chain, and distribution network. We are currently unable to predict the ultimate impact that it may have on our business, future results of operations, financial position or cash flows. The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pacing w:after="0" w:line="8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impaired,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first half of 2020, oil prices declined significantly due to increases in supply emanating from a disagreement on production cuts among members of OPEC and certain non-OPEC, oil-producing countries and subsequent hydrocarbon commodity price declines. The resulting supply and demand imbalance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 Although OPEC agreed in April 2020 to cut oil production and extended such production cuts through December 2020, there is no assurance that the agreement will continue to be observed by its members, and the responses of oil and gas producers to the lower demand for, and price of, natural gas, NGLs and crude oil are constantly evolving and remain uncertain. Continued pressure on demand. Such responses could cause our pipelines and storage tanks to reach capacity, thereby forcing producers to experience shut-ins or look to alternative methods of transportation for their products. In addition, the dramatic decrease in oil and gas prices could have substantial negative implications for our revenue sources that are related to or underpinned by commodity prices. As a result, these factors could have a material adverse effect on our business, future results of operations, financial position or cash flows. At this point, we cannot accurately predict the long-term effects current market conditions due to the COVID-19 pandemic and failed OPEC negotiations will have on our business, which will depend on, among other factors, the duration of the outbreak and the extent and overall economic effects of the governmental response to the pandemic.</w:t>
      </w:r>
    </w:p>
    <w:p>
      <w:pPr>
        <w:spacing w:after="0" w:line="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impact of COVID-19 and the OPEC price war may also exacerbate other risks discussed below, any of which could have a material effect on us. This situation is changing rapidly, and additional impacts may arise that we are not aware of currently.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enable us to pay distributions to holders of our common units.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not have sufficient available cash from operating surplus each quarter to pay the distributions to holders of our common units. In May 2020, we suspended distributions to holders of our common units and our Series A Preferred Units, commencing with respect to the quarter ending March 31, 2020. We did not make a distribution on our common units with respect to any quarter in 2020, nor did we make a distribution on our Series A Preferred Units on June 15, 2020 or December 15, 2020. Further, we may not pay distributions on the common units or Series A Preferred Units in the foreseeable future, and there are restrictions on our ability to pay distributions under our outstanding indebtedness that restrict our ability to pay cash distributions on any of our equity securities. The amount of cash we can distribute on our units principally depends upon the amount of cash we generate from our operations, which will fluctuate from quarter to quarter based on, among other things:</w:t>
      </w:r>
    </w:p>
    <w:p>
      <w:pPr>
        <w:spacing w:after="0" w:line="69"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volumes we gather, treat and process;</w:t>
      </w:r>
    </w:p>
    <w:p>
      <w:pPr>
        <w:spacing w:after="0" w:line="117"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production of natural gas and crude oil (and associated volumes of produced water) from wells connected to our gathering systems, which is dependent in part on the demand for, and the market prices of, crude oil, natural gas and NGLs;</w:t>
      </w:r>
    </w:p>
    <w:p>
      <w:pPr>
        <w:spacing w:after="0" w:line="62" w:lineRule="exact"/>
        <w:rPr>
          <w:rFonts w:ascii="Arial" w:cs="Arial" w:eastAsia="Arial" w:hAnsi="Arial"/>
          <w:sz w:val="18"/>
          <w:szCs w:val="18"/>
          <w:color w:val="auto"/>
        </w:rPr>
      </w:pPr>
    </w:p>
    <w:p>
      <w:pPr>
        <w:ind w:left="800" w:right="26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pipelines, facilities, related equipment and surrounding properties caused by earthquakes, floods, fires, severe weather, explosions and other natural disasters, accidents and acts of terrorism;</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leaks or accidental releases of hazardous materials into the environment;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conditions and seasonal trends;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fees we charge for our services;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contractual MVCs and our customer’s capacity to make MVC shortfall payments when due;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competition from other midstream energy companies in our areas of operation;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level of our operating, maintenance and general and administrative expenses;</w:t>
      </w:r>
    </w:p>
    <w:p>
      <w:pPr>
        <w:spacing w:after="0" w:line="117" w:lineRule="exact"/>
        <w:rPr>
          <w:rFonts w:ascii="Arial" w:cs="Arial" w:eastAsia="Arial" w:hAnsi="Arial"/>
          <w:sz w:val="18"/>
          <w:szCs w:val="18"/>
          <w:color w:val="auto"/>
        </w:rPr>
      </w:pPr>
    </w:p>
    <w:p>
      <w:pPr>
        <w:ind w:left="800" w:right="12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 affecting the supply of, or demand for, crude oil, natural gas and NGLs, the fees we can charge, how we contract for services, our existing contracts, our operating and maintenance costs or our operating flexibility; and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prevailing economic and market conditions.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the actual amount of cash we have available for distribution to our common unitholders depends on other factors, some of which are beyond our control, including:</w:t>
      </w:r>
    </w:p>
    <w:p>
      <w:pPr>
        <w:spacing w:after="0" w:line="62" w:lineRule="exact"/>
        <w:rPr>
          <w:sz w:val="20"/>
          <w:szCs w:val="20"/>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and timing of capital expenditures we make;</w:t>
      </w:r>
    </w:p>
    <w:p>
      <w:pPr>
        <w:spacing w:after="0" w:line="117" w:lineRule="exact"/>
        <w:rPr>
          <w:rFonts w:ascii="Arial" w:cs="Arial" w:eastAsia="Arial" w:hAnsi="Arial"/>
          <w:sz w:val="18"/>
          <w:szCs w:val="18"/>
          <w:color w:val="auto"/>
        </w:rPr>
      </w:pPr>
    </w:p>
    <w:p>
      <w:pPr>
        <w:ind w:left="800" w:right="14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our operating, maintenance and general and administrative expenses, including reimbursements of expenses incurred on our behalf by our General Partner;</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sell assets, if any, and the price that we may receive for such assets;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debt service requirements and other liabilities;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borrow funds and access the debt and equity capital markets;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contained in our debt agreements;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receiving anticipated shortfall payments from our customers;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legal judgments, fines and settlements;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paid on our Series A Preferred Units, if any, or on the preferred stock of our subsidiaries;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business risks affecting our cash levels.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depend on a relatively small number of customers for a significant portion of our revenues. For example, Caerus, a customer on our Piceance Basin gathering system accounts for over 10% of our aggregated revenue. The loss of, or material nonpayment or nonperformance by, or the curtailment of production by, any one or more of our customers could materially adversely affect our revenues, cash flows and ability to make cash distributions to our unitholders.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and cash flows and our ability to make cash distributions to our unitholders. We expect our exposure to concentrated risk of nonpayment or nonperformance to continue as long as we remain substantially dependent on a relatively small number of customers for a significant portion of our revenues.</w:t>
      </w:r>
    </w:p>
    <w:p>
      <w:pPr>
        <w:spacing w:after="0" w:line="8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any of our customers curtail or reduce production in our areas of operation, it could reduce throughput on our systems and, therefore, materially adversely affect our revenues, cash flows and ability to make cash distributions to our unitholders.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The low commodity price environment has negatively impacted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spacing w:after="0" w:line="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ability to make cash distributions to our unitholders. In addition, there can be no assurance that our contract counterparties will perform or adhere to existing or future contractual arrangements, including making any required shortfall payments or other payments due under their respective contracts.</w:t>
      </w:r>
    </w:p>
    <w:p>
      <w:pPr>
        <w:spacing w:after="0" w:line="8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Adverse developments in our areas of operation could materially adversely impact our financial condition, results of operations, cash flows and ability to make cash distributions to our unitholders.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operations are focused on gathering, treating and processing services in the following unconventional resource basins, primarily shale formations: the Utica Shale, the Williston Basin, the DJ Basin, the Permian Basin, the Piceance Basin, the Barnett Shale and the Marcellus Shale. Due to our limited industry diversity, adverse developments in the natural gas and crude oil industries or in our existing areas of operation could have a significantly greater impact on our financial condition, results of operations and cash flows than if we did not have such limited diversity.</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Significant prolonged weakness in natural gas, NGL and crude oil prices could reduce throughput on our systems and materially adversely affect our revenues and cash available to make cash distributions to our unitholders.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Lower natural gas, NGL and crude oil prices could negatively impact exploration, development and production of natural gas and crude oil, thereby resulting in reduced throughput on our gathering systems. Additionally, certain of our customers in each of our areas of operations have reduced, and others could reduce, drilling activity and capital expenditure budgets. If natural gas, NGL and/or crude oil prices remain at current levels or decrease, it could cause sustained reductions in exploration or production activity in our areas of operation and result in a further reduction in throughput on our systems, which could have a material adverse effect on our business, financial condition, results of operations and ability to make cash distributions to our unitholders.</w:t>
      </w:r>
    </w:p>
    <w:p>
      <w:pPr>
        <w:spacing w:after="0" w:line="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spacing w:after="0" w:line="7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spacing w:after="0" w:line="76" w:lineRule="exact"/>
        <w:rPr>
          <w:sz w:val="20"/>
          <w:szCs w:val="20"/>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prevailing and projected hydrocarbon commodity prices;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demand for crude oil, natural gas and other hydrocarbon products, including NGLs;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levels of reserves;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geological considerations;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environmental or other governmental regulations, including the availability of drilling permits and the regulation of hydraulic fracturing; and</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drilling rigs and other costs of production and equipment.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spacing w:after="0" w:line="41" w:lineRule="exact"/>
        <w:rPr>
          <w:sz w:val="20"/>
          <w:szCs w:val="20"/>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worldwide economic and geopolitical conditions;</w:t>
      </w:r>
    </w:p>
    <w:p>
      <w:pPr>
        <w:spacing w:after="0" w:line="117" w:lineRule="exact"/>
        <w:rPr>
          <w:rFonts w:ascii="Arial" w:cs="Arial" w:eastAsia="Arial" w:hAnsi="Arial"/>
          <w:sz w:val="18"/>
          <w:szCs w:val="18"/>
          <w:color w:val="auto"/>
        </w:rPr>
      </w:pPr>
    </w:p>
    <w:p>
      <w:pPr>
        <w:ind w:left="800" w:right="40" w:hanging="401"/>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global or national health concerns, including the outbreak of pandemic or contagious disease, such as COVID-19, which may continue to reduce demand for crude oil, natural gas and NGLs because of reduced global or national economic activity;</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conditions and seasonal trends;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levels of domestic production and consumer demand;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imported liquefied natural gas (“LNG”);</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export LNG;</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transportation and storage systems with adequate capacity;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volatility and uncertainty of regional pricing differentials and premiums;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and availability of alternative fuels, including alternative fuels that benefit from government subsidies;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energy conservation measures;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and extent of governmental regulation and taxation;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anticipated future prices of crude oil, natural gas and other hydrocarbon products, including NGLs.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ability to make cash distributions to our unitholders.</w:t>
      </w:r>
    </w:p>
    <w:p>
      <w:pPr>
        <w:spacing w:after="0" w:line="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spacing w:after="0" w:line="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Many of our costs are fixed and do not vary with our throughput. These costs will not decline ratably or at all should we experience a reduction in throughput, which could result in a decline in our revenues and cash flows and materially adversely affect our ability to make cash distributions to our unitholders.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significant decrease in the demand for natural gas and crude oil could reduce the volumes of natural gas and crude oil that we gather and process, which could adversely affect our business and operating results.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volumes of natural gas and crude oil that we gather and process depend on the supply and demand for natural gas and crude oil and other hydrocarbon products in the areas served by our assets. Natural gas and crude oil compete with other forms of energy available to users, including electricity, coal, other fuels and alternative energy sources. Increased demand for such forms of energy at the expense of natural gas and crude oil could lead to a reduction in demand for our services. Any such reduction could result in a decline in our revenues and cash flows and materially adversely affect our ability to make cash distributions to our unitholders.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customers do not increase the volumes they provide to our gathering systems, our ability to make cash distributions to our unitholders may be materially adversely affected.</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we are unsuccessful in attracting new customers and/or new gathering opportunities with existing customers, our ability to make cash distributions to our unitholders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ability to make cash distributions to our unitholders.</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Certain of our gathering and processing agreements contain provisions that can reduce the cash flow stability that the agreements were designed to achieve.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 and our ability to make cash distributions to our unitholders.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obtained independent evaluations of all of the reserves connected to our gathering systems; therefore, in the future, customer volumes on our systems could be less than we anticipate.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spacing w:after="0" w:line="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Accordingly, we may not have accurate estimates of total reserves dedicated to our systems or the anticipated life of such reserves. If the total reserves or estimated life of the reserves connected to our gathering systems are less than we anticipate and we are unable to secure additional volumes, it could have a material adverse effect on our business, results of operations, financial condition and our ability to make cash distributions to our unitholders.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industry is highly competitive, and increased competitive pressure could materially adversely affect our business and operating results.</w:t>
      </w:r>
    </w:p>
    <w:p>
      <w:pPr>
        <w:spacing w:after="0" w:line="14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financial condition and ability to make cash distributions to our unitholders.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or replace expiring contracts at favorable rates or on a long-term basis.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gathering, treating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spacing w:after="0" w:line="84"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existing and new competition to provide gathering and/or processing services in our areas of operation;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macroeconomic factors affecting gathering, treating and processing economics for our current and potential customers;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balance of supply and demand, on a short-term, seasonal and long-term basis, in our markets;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the customers in our areas of operation are willing to contract on a long-term basis;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federal, state or local regulations on the contracting practices of our customers.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To the extent we are unable to renew our existing contracts on terms that are favorable to us or successfully manage our overall contract mix over time, our revenues and cash flows could decline and our ability to make cash distributions to our unitholders could be materially adversely affected.</w:t>
      </w:r>
    </w:p>
    <w:p>
      <w:pPr>
        <w:spacing w:after="0" w:line="3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If third-party pipelines or other midstream facilities interconnected to our gathering systems become partially or fully unavailable, our revenues and cash flows and our ability to make cash distributions to our unitholders could be materially adversely affected.</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ability to make cash distributions to our unitholders could be materially adversely affected.</w:t>
      </w:r>
    </w:p>
    <w:p>
      <w:pPr>
        <w:spacing w:after="0" w:line="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have a relatively limited ownership history with respect to certain of our assets. There could be unknown events or conditions or increased maintenance or repair expenses and downtime associated with our pipelines and/or processing facilities that could have a material adverse effect on our business and operating results.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relatively limited history of operating certain of our assets. There may be historical occurrences or latent issues regarding certain of our pipeline systems of which we may be unaware and that may have a material adverse effect on our business and results of operations. Any significant increase in maintenance and repair expenditures or loss of revenue due to the condition of our pipeline systems could materially adversely affect our business and results of operations and our ability to make cash distributions to our unitholders.</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Crude oil and natural gas production and gathering may be adversely affected by weather conditions and terrain, which in turn could negatively impact the operations of our gathering, treating and processing facilities and our construction of additional facilities.</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Extended periods of below freezing weather and unseasonably wet weather conditions, especially in North Dakota, Ohio and West Virginia,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continuous operations of our gathering, treating and processing systems, including interruptions in service. These types of interruptions could negatively impact our ability to meet our contractual obligations to our customers and thereby give rise to certain termination rights and/or the release of dedicated acreage. Any resulting terminations or releases could materially adversely affect our business and results of operations.</w:t>
      </w:r>
    </w:p>
    <w:p>
      <w:pPr>
        <w:spacing w:after="0" w:line="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mountainous areas such as our Utica Shale and Marcellus Shale operations,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Interruptions in operations at any of our facilities may adversely affect our operations and cash flows available for distribution to our unitholders.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operations depend upon the infrastructure that we have developed and constructed. Any significant interruption at any of our gathering, treating or processing facilities, or in our ability to provide gathering, treating or processing services, could adversely affect our operations and cash flows available for distribution to our unitholders. Operations at our facilities could be partially or completely shut down, temporarily or permanently, as the result of circumstances not within our control, such as:</w:t>
      </w:r>
    </w:p>
    <w:p>
      <w:pPr>
        <w:spacing w:after="0" w:line="79" w:lineRule="exact"/>
        <w:rPr>
          <w:sz w:val="20"/>
          <w:szCs w:val="20"/>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unscheduled turnarounds or catastrophic events at our physical plants or pipeline facilities;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imposed by governmental authorities or court proceedings;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labor difficulties that result in a work stoppage or slowdown;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disruption in the supply of resources necessary to operate our midstream facilities;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our facilities resulting from production volumes that do not comply with applicable specifications; and</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inadequate transportation and/or market access to support production volumes, including lack of pipeline, rail terminals, produced water disposal facilities and/or third-party processing capacity.</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significant interruption at any of our gathering, treating or processing facilities, or in our ability to provide gathering, treating or processing services, could adversely affect our operations and cash flows available for distribution to our unitholders.</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all of the risks and hazards inherent in the operation of gathering, treating and processing systems, including:</w:t>
      </w:r>
    </w:p>
    <w:p>
      <w:pPr>
        <w:spacing w:after="0" w:line="117" w:lineRule="exact"/>
        <w:rPr>
          <w:sz w:val="20"/>
          <w:szCs w:val="20"/>
          <w:color w:val="auto"/>
        </w:rPr>
      </w:pPr>
    </w:p>
    <w:p>
      <w:pPr>
        <w:ind w:left="800" w:right="80" w:hanging="401"/>
        <w:spacing w:after="0" w:line="277"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pipelines, processing plants, compression assets, related equipment and surrounding properties caused by tornadoes, floods, fires and other natural disasters and acts of terrorism;</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inadvertent damage from construction, vehicles, farm and utility equipment;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leaks or losses resulting from the malfunction of equipment or facilities;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ruptures, fires and explosions;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hazards that could also result in personal injury and loss of life, pollution and suspension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These risks could result in substantial losses due to personal injury and/or loss of life, severe damage to and destruction of property and equipment and pollution or other environmental damage. The location of certain of our systems in or near populated areas, including residential areas, commercial business centers and industrial sites, could increase the damages resulting from such events.</w:t>
      </w:r>
    </w:p>
    <w:p>
      <w:pPr>
        <w:spacing w:after="0" w:line="7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These events may also result in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 and our ability to make cash distributions to our unitholders.</w:t>
      </w:r>
    </w:p>
    <w:p>
      <w:pPr>
        <w:spacing w:after="0" w:line="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some of which are beyond our control,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spacing w:after="0" w:line="6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may fail to successfully integrate gathering system acquisitions into our existing business in a timely manner, which could have a material adverse effect on our business, results of operations, financial condition and ability to make cash distributions to our unitholders, or fail to realize all of the expected benefits of the acquisitions, which could negatively impact our future results of operations.</w:t>
      </w:r>
    </w:p>
    <w:p>
      <w:pPr>
        <w:spacing w:after="0" w:line="4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Integration of future gathering system acquisitions could be a complex, time-consuming and costly process, particularly if the acquired assets significantly increase our size and/or (i) diversify the geographic areas in which we operate or (ii) the service offerings that we provide.</w:t>
      </w:r>
    </w:p>
    <w:p>
      <w:pPr>
        <w:spacing w:after="0" w:line="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failure to successfully integrate the acquired assets with our existing business in a timely manner may have a material adverse effect on our business, results of operations, financial condition and ability to make cash distributions to our unitholders. If any of the risks described above or in the immediately preceding risk factor or unanticipated liabilities or costs were to materialize with respect to future acquisitions or if the acquired assets were to perform at levels below the forecasts we used to evaluate them, then the anticipated benefits from the acquisition may not be fully realized, if at all, and our future results of operations and ability to make cash distributions to unitholders could be negatively impacted.</w:t>
      </w:r>
    </w:p>
    <w:p>
      <w:pPr>
        <w:spacing w:after="0" w:line="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construction of new assets may not result in revenue increases and will be subject to regulatory, environmental, political, legal and economic risks, which could materially adversely affect our results of operations and financial condition.</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construction of new assets, including for example Double E, involve numerous regulatory, environmental, political, legal and economic uncertainties that are beyond our control.</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Such construction projects may also require the expenditure of significant amounts of capital, and financing, traditional or otherwise,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expected investment return, which could materially adversely affect our results of operations and financial condition.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 construction of additions or modifications to our existing gathering, treating and processing assets and the construction of new midstream assets may require us to obtain federal, state and local regulatory environmental or other authorizations. The approval process for gathering, treating and processing activities has become increasingly challenging, due in part to state and local concerns related to unregulated exploration and production and gathering, treating and processing activities in new production areas. Such authorization may not be granted or, if granted, such authorization may include burdensome or expensive conditions. As a result, we may be unable to obtain such authorizations and may, therefore, be unable to connect new volumes to our systems or capitalize on other attractive expansion opportunities. A future government shutdown could delay the receipt of any federal regulatory approvals. Additionally, it may become more expensive for us to obtain authorizations or to renew existing authorizations. If the cost of renewing or obtaining new authorizations increases materially, our cash flows could be materially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result in disruptions to our operations.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facilities. Our loss of these rights, through our inability to renew right-of-way contracts or otherwise, could have a material adverse effect on our business, results of operations, financial condition and ability to make cash distributions to our unitholders.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our business effectively could be impaired if we fail to attract and retain key personnel.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shortage of skilled labor in the midstream energy industry could reduce employee productivity and increase costs, which could have a material adverse effect on our business and results of operations.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operation of gathering, treating and processing systems requires skilled laborers in multiple disciplines such as equipment operators, mechanics and engineers, among others. We have from time to time encountered shortages for these types of skilled labor. If we experience shortages of skilled labor in the future, our labor and overall productivity or costs could be materially adversely affected. If our labor prices increase or if we experience materially increased health and benefit costs with respect to our General Partner's employees, our business and results of operations and our ability to make cash distributions to our unitholders could be materially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Limited access to and/or availability of the debt and equity capital markets could impair our ability to grow or cause us to be unable to meet future capital requirements.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our Revolving Credit Facility.</w:t>
      </w:r>
    </w:p>
    <w:p>
      <w:pPr>
        <w:spacing w:after="0" w:line="8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plan to use cash from operations, incur borrowings and/or sell additional common units or other securities to fund our future expansion capital expenditures. Using cash from operations to fund expansion capital expenditures will directly reduce any cash available for distribution to unitholders. Our ability to obtain financing or to access the capital markets for future debt or equity offerings may be limited by (i) our financial condition at the time of any such financing or offering, (ii) covenants in our debt agreements, (iii) restrictions imposed by our Series A Preferred Units, (iv) general economic conditions and contingencies, (v) increasing disfavor among many investors towards investments in fossil fuel companies and (vi) general weakness in the debt and equity capital markets and other uncertainties that are beyond our control. In addition, lenders are facing increasing pressure to curtail their lending activities to companies in the oil and natural gas industry. Furthermore, market demand for equity issued by master limited partnerships has been significantly lower in recent years than it has been historically, which may make it more challenging for us to finance our expansion capital expenditures and acquisition capital expenditures with the issuance of additional equity. We did not make a distribution on our common units with respect to any quarter in 2020, nor did we make a distribution on our Series A Preferred Units on June 15, 2020 or December 15, 2020, and these suspensions of distributions may further reduce demand for our common units or Series A Preferred Units. Further, we may not pay distributions on the common units or Series A Preferred Units in the foreseeable future, and there are restrictions on our ability to pay distributions under our outstanding indebtedness that restrict our ability to pay cash distributions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distributions to our common unitholders. In addition, incurring additional debt may significantly increase our interest expense and financial leverage, and issuing additional units representing limited partner interests may result in significant common unitholder dilution and increase the aggregate amount of cash required to pay distributions to our unitholders, which could materially decrease our ability to pay such distributions.</w:t>
      </w:r>
    </w:p>
    <w:p>
      <w:pPr>
        <w:spacing w:after="0" w:line="27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December 31, 2020, we had $1.3 billion of indebtedness outstanding and the unused portion of our $1.1 billion Revolving Credit Facility totaled $238.9 million, subject to an issued but undrawn letter of credit. Based on covenant limits, our available borrowing capacity under the Revolving Credit Facility as of December 31, 2020 was approximately $105 million. See Note 9 of the notes to our consolidated financial statements included in Item 8 of this report for further discussion of our debt obligations, including debt maturities for the next five years and thereafter. Our existing and future debt services obligations could have significant consequences, including among other things:</w:t>
      </w:r>
    </w:p>
    <w:p>
      <w:pPr>
        <w:spacing w:after="0" w:line="80" w:lineRule="exact"/>
        <w:rPr>
          <w:sz w:val="20"/>
          <w:szCs w:val="20"/>
          <w:color w:val="auto"/>
        </w:rPr>
      </w:pPr>
    </w:p>
    <w:p>
      <w:pPr>
        <w:ind w:left="800" w:right="240" w:hanging="401"/>
        <w:spacing w:after="0" w:line="27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if necessary, for working capital, capital expenditures, acquisitions or other purposes and/or obtaining such financing on favorable terms;</w:t>
      </w:r>
    </w:p>
    <w:p>
      <w:pPr>
        <w:spacing w:after="0" w:line="62"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reducing our funds available for operations, future business opportunities and cash distributions to unitholders by that portion of our cash flow required to make interest payments on our debt;</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our vulnerability to competitive pressures or a downturn in our business or the economy generally;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flexibility in responding to changing business and economic conditions.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Restrictions in our Revolving Credit Facility and Senior Notes indentures could materially adversely affect our business, financial condition, results of operations, ability to make cash distributions to unitholders and value of our common units.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dependent upon the earnings and cash flows generated by our operations to meet our debt service obligations and to make cash distributions to our unitholders, if any. The operating and financial restrictions and covenants in our Revolving Credit Facility, our Senior Notes indentures and any future financing agreements could restrict our ability to finance future operations or capital needs or to expand or pursue our business activities, which may, in turn, limit our ability to make cash distributions to our unitholders. For example, our Revolving Credit Facility and Senior Notes indentures, taken together, restrict our ability to, among other things:</w:t>
      </w:r>
    </w:p>
    <w:p>
      <w:pPr>
        <w:spacing w:after="0" w:line="80" w:lineRule="exact"/>
        <w:rPr>
          <w:sz w:val="20"/>
          <w:szCs w:val="20"/>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or guarantee certain additional debt;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cash distributions on or redeem or repurchase certain units;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sale and lease-back transactions and certain operating leases;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merge or consolidate with another company or otherwise engage in a change of control transaction;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sell or otherwise dispose of certain assets.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Revolving Credit Facility and Senior Notes indentures also contain covenants requiring us to maintain certain financial ratios and meet certain tests. Our ability to meet those financial ratios and tests can be affected by events beyond our control, and we cannot guarantee that we will meet those ratios and tests. Based upon the terms of our Revolving Credit Facility and total outstanding debt of $1.3 billion (inclusive of $494 million of senior unsecured notes, net of debt issuance costs), our total leverage ratio first lien secured leverage ratio (as defined in the credit agreement) as of December 31, 2020, were 5.1 to 1.0 and 3.2 to 1.0, respectively, relative to maximum threshold limits of 5.75x and 3.5x.</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provisions of our Revolving Credit Facility and Senior Notes indentures may affect our ability to obtain future financing and pursue attractive business opportunities as well as affect our flexibility in planning for, and reacting to, changes in business conditions. In addition, a failure to comply with the provisions of our Revolving Credit Facility or Senior Notes indentures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our Revolving Credit Facility could proceed against the collateral granted to them to secure such debt. If the payment of our debt is accelerated, our assets may be insufficient to repay such debt in full, and our unitholders could experience a partial or total loss of their investment. The Revolving Credit Facility also has cross default provisions that apply to any other indebtedness we may have and the Senior Notes indentures have cross default provisions that apply to certain other indebtedness. Any of these restrictions in our Revolving Credit Facility and Senior Notes indentures could materially adversely affect our business, financial condition, cash flows and results of operations.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or to refinance, which may not be successful.</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ability to make scheduled payments on, or to refinance, our indebtedness obligations, including our Revolving Credit Facility and our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restructure or refinance our indebtedness will depend on the condition of the capital markets, including the market for senior unsecured notes, and our financial condition at the time. Any refinancing of our indebtedness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 Our Revolving Credit Facility and the indentures governing our Senior Notes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 if for any reason we are unable to meet our debt service and repayment obligations, we would be in default under the terms of the agreements governing our debt, which would allow our creditors under those agreements to declare all outstanding indebtedness thereunder to be due and payable (which would in turn trigger cross-acceleration or cross-default rights between the relevant agreements), the lenders under our Revolving Credit Facility could terminate their commitments to extend credit, and the lenders could foreclose against our assets securing their borrowings and we could be forced into bankruptcy or liquidation. If the amounts outstanding under our Revolving Credit Facility or our Senior Notes were to be accelerated, we cannot assure you that our assets would be sufficient to repay in full the amounts owed to our creditors.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downgrade of our credit rating could impact our liquidity, access to capital and our costs of doing business, and independent third parties determine our credit ratings outside of our control.</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downgrade of our credit rating could increase our cost of borrowing under our Revolving Credit Facility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 the past and may in the future incur losses due to impairment in the carrying value of our long-lived assets or equity method investments.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recorded long-lived asset impairments of $13.1 million and $60.5 million in 2020 and 2019, respectively. In 2019, we also recorded an impairment of our equity method investment in Ohio Gathering of $329.7 million and a loss of $6.3 million related to a long-lived asset impairment on OCC.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 and income-based approaches. We evaluate our equity method investment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revenues are directly exposed to changes in crude oil, natural gas and NGL prices, and our exposure may increase in the future.</w:t>
      </w:r>
    </w:p>
    <w:p>
      <w:pPr>
        <w:spacing w:after="0" w:line="140"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During the year ended December 31, 2020, we derived 13% of our revenues from (i) the sale of physical natural gas and/or NGLs purchased under percentage-of-proceeds arrangements with certain of our customers on the Williston Basin, Piceance Basin, and Permian Basin segments, (ii) natural gas and crude oil marketing services in and around our gathering systems, (iii) the sale of natural gas we retain from certain Barnett Shale customers and (iv) the sale of condensate we retain from our gathering services in the Piceance Basin segment.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report our financial results timely and accurately or prevent fraud, which would likely have a negative impact on the market price of our common units.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a publicly traded partnership, we are subject to the public reporting requirements of the Exchange Act, including the rules thereunder that will require our management to certify financial and other information in our quarterly and annual reports and provide an annual management report on the effectiveness of our internal control over financial reporting. Effective internal controls are necessary for us to provide reliable and timely financial reports, prevent fraud and to operate successfully as a publicly traded partnership. We prepare our consolidated financial statements in accordance with GAAP. Our efforts to maintain our internal controls may not be successful and we may be unable to maintain effective controls over our financial processes and reporting in the future or to comply with our obligations under Section 404 of the Sarbanes-Oxley Act of 2002.</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Given the difficulties inherent in the design and operation of internal controls over financial reporting, in addition to our limited accounting personnel and management resources, we can provide no assurance as to our or our independent registered public accounting firm’s future conclusions about the effectiveness of our internal controls, and we may incur significant costs in our efforts to comply with Section 404 of the Sarbanes-Oxley Act of 2002. Any failure to maintain effective internal controls over financial reporting could subject us to regulatory scrutiny and a loss of confidence in our reported financial information, which could have an adverse effect on our business and would likely have a negative effect on the trading price of our common units.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Environmental Policy Risks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under investigation by federal and state regulatory agencies over a pipeline rupture and release of produced water by one of our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resolution of this matter could have a material adverse effect on our results of operations or cash flows.</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further described in Item 3. Legal Proceedings, an incident involving a produced water disposal pipeline owned by Meadowlark Midstream that resulted in a discharge of materials into the environment is under investigation by federal and state agencies pursuant to various laws that may give rise to criminal and civil liability. A loss arising from this incident is probable, and the ultimate outcome could have a material adverse effect on our results of operations or cash flows. We have accrued a loss contingency for this incident but cannot predict whether any actual loss, if one were to occur, would be materially higher or lower than such accrual.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spacing w:after="0" w:line="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Expenditures made by the Partnership for the payment of litigation related costs, including legal defense costs and settlement payments, if any, reduce our cash flows available for debt service and distributions to our unitholders, if any. Any such expenditures, if incurred, could be material. See Item 3. Legal Proceedings for additional disclosure by the Partnership regarding its ongoing litigation and claims.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In 2016, the NDIC adopted rule changes that resulted in additional construction and monitoring requirements for certain underground gathering pipelines, including, but not limited to, those that transport produced water. The NDIC also adopted reclamation bonding requirements for certain underground gathering pipelines. At the federal level, PHMSA has issued new proposed and final rules concerning pipeline safety in recent years. To that extent these proposed or final rules create additional requirements for our pipelines, they could have a material adverse effect on our operations, operating and maintenance expenses and revenues. For additional information on the potential risks associated with PHMSA requirements, see the “We may incur greater than anticipated costs and liabilities as a result of pipeline safety requirements” section of Item 1.A. Risk Factors.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in 2018 the Colorado state ballot included a proposed 2,500 foot setback for oil and gas development from occupied structures and certain other areas. While the proposal did not pass, Colorado Senate Bill 19-181, signed into law in April 2019, changed the mandate of the COGCC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Further, in November 2020, the COGCC adopted new regulations that increase oil and gas setbacks to a minimum of 2,000 feet from schools and childcare facilities, prohibit routine venting and flaring, increase wildlife protections, and alter certain aspects of the permitting process.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Increased regulation of hydraulic fracturing could result in reductions or delays in customer production, which could materially adversely impact our revenues.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Hydraulic fracturing is an important and increasingly common practice that is used to stimulate production of natural gas and/or crude oil from dense subsurface rock formations, and is primarily regulated by state agencies. However, Congress has in the past, and may in the future consider legislation to regulate hydraulic fracturing by federal agencies. Many states have already adopted laws and/or regulations that require disclosure of the chemicals used in hydraulic fracturing. A number of states have adopted, and other states are considering adopting, legal requirements that could impose more stringent permitting, disclosure and well construction requirements on crude oil and/or natural gas drilling activities. For example, a Colorado ballot initiative, Proposition 112, would have substantially increased setback distances for various upstream activities, thereby substantially restricting new oil and gas development in the state. Although Proposition 112 was defeated in the November 2018 elections, similar ballot initiatives have been circulated by interested groups for potential consideration in elections. Further, Colorado Senate Bill 19-181, signed into law in April 2019, changed the mandate of the COGCC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Further, in November 2020, the COGCC adopted new regulations that increase oil and gas setbacks to a minimum of 2,000 feet from schools and childcare facilities, prohibit routine venting and flaring, increase wildlife protections, and alter certain aspects of the permitting process. These regulations and similar efforts in Colorado and elsewhere could restrict oil and gas development in the future.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EPA has also moved forward with various regulatory actions, including approving regulations requiring green completions of hydraulically-fractured wells and corresponding reporting requirements (NSPS OOOO) that went into effect in 2015. Revisions to the green completion regulations (NSPS OOOOa) were finalized in June 2016 and include additional requirements to reduce methane and VOCs. In August 2020, the EPA issued two final rules that rescinded the methane-specific requirements of NSPS OOOO and OOOOa applicable to sources in the production and processing segments and removed the transmission and storage segment from the source category. However, these 2020 rules are being challenged in the U.S. Court of Appeals for the D.C. Circuit. In addition, President Biden’s January 20, 2021 Executive Order on “Protecting Public Health and the Environment and Restoring Science to Tackle the Climate Crisis” directed EPA to consider publishing a proposed rule suspending, revising, or rescinding the 2020 rules, as well as to consider establishing methane and VOC emission standards for existing sources in the oil and gas sector, including the transportation and storage segments. The BLM has also asserted regulatory authority over aspects of the hydraulic fracturing process, and issued a final rule in March 2015 that established more stringent standards for performing hydraulic fracturing on federal and Indian lands. However, in December 2017, the BLM published a final rule rescinding the 2015 rule. The U.S. District Court for the Northern District of California upheld the December 2017 rescission rule in a March 2020 decision. The State of California and environmental plaintiffs then appealed the decision in June 2020. Litigation is currently ongoing.</w:t>
      </w:r>
    </w:p>
    <w:p>
      <w:pPr>
        <w:spacing w:after="0" w:line="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 several federal governmental agencies have conducted reviews and studies on the environmental aspects of hydraulic fracturing, including the EPA. The results of such reviews or studies could spur initiatives to further regulate hydraulic fracturing.</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State and federal regulatory agencies recently have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49"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 Additionally, our proposed Double E Project, for which FERC approved the implementation plan in January 2021, and which is anticipated to provide natural gas transmission service from southeastern New Mexico to the Waha Hub in Texas, will be subject to FERC jurisdiction once completed. FERC may include conditions on its issuance of the certificate that make a project impracticable or too costly, or may ultimately determine not to issue the certificate required for us to pursue the project. Typically, a pipeline project requires review by a number of governmental agencies, including FERC, and other federal, state and local agencies, whose cooperation is important in completing the regulatory process on schedule. Any delay or refusal by an agency to issue authorizations or permits as requested for the project may mean that they will be constructed in a manner or with capital requirements that we did not anticipate or that we will not be able to pursue the project. Such delay, modification or refusal could materially and negatively impact the additional revenues expected from the project. 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6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generally subject to the anti-market manipulation provisions in the NGA, as amended by the Energy Policy Act of 2005, and to FERC’s regulations thereunder, which authorize FERC to impose fines of up to $1,307,164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$1,246,249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$1,227,202 per violation, subject to future adjustment for inflation, or triple the monetary gain to the violator for each violation of the anti-market manipulation provisions of the CEA.</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state and local regulation regarding the construction and operation of our gathering, treating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and processing activities, which allows producers and shippers to file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complaints with state regulators in an effort to resolve access issues, rate grievances and other matters. Other state and municipal regulations do not directly apply to our business, but may nonetheless affect the availability of natural gas and crude oil for gathering, treating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actions by the FERC may affect rates on Epping Pipeline and other future FERC-regulated pipelines.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March 15, 2018, FERC announced a revised policy prohibiting FERC-jurisdictional natural gas and liquids pipelines owned by master limited partnerships from including an allowance for income taxes in the cost of service used to calculate tariff rates. Most of our pipelines are not subject to FERC regulation and so will not be affected by the revised policy statement. However, rates for interstate movements of crude oil on our Epping Pipeline in North Dakota and any future FERC-regulated pipelines may be affected by the application of the revised policy statement in subsequent FERC proceedings.</w:t>
      </w:r>
    </w:p>
    <w:p>
      <w:pPr>
        <w:spacing w:after="0" w:line="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FERC has not required regulated interstate oil pipelines to decrease their rates on an industry-wide basis to implement the new policy. However, FERC stated that the effects of the revised policy statement must be incorporated in annual FERC financial reports made by regulated interstate oil pipelines. These reports, which also reflected the impact of the corporate income tax reduction enacted as part of the Tax Reform Legislation, were considered by FERC in its five-year review and determination of the index rate adjustment, which resulted in the December 17, 2020 order adopting a new annual index adjustment for the five-year period starting July 1, 2021. FERC ultimately removed the effect of the income tax allowance policy change from its index calculation, although the December 17, 2020 order is subject to rehearing and possible judicial review. The impact of these future proceedings on Epping Pipeline and any future FERC-regulated pipelines is uncertain at this time.</w:t>
      </w:r>
    </w:p>
    <w:p>
      <w:pPr>
        <w:spacing w:after="0" w:line="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Until FERC sets the next index rate adjustment, Epping Pipeline and any future FERC-regulated pipelines may face an increased risk of shipper complaints seeking FERC review of its rates. FERC can also initiate review of rates on its own initiative. We could also propose new cost-of-service rates or changes to our existing rates that would be subject to review by FERC under its new policy. No such proceedings have occurred at this time, however, and the potential outcome of any such proceedings, should any materialize, is uncertain. As a result of any such proceedings, Epping Pipeline and any future FERC-regulated pipelines may be required to modify their rates, which could affect the revenues we generate with our Epping Pipeline and any future FERC-regulated pipelines. At this time, we do not expect any such proceedings would have a material adverse effect, but we intend to monitor FERC developments and provide updated disclosure, as necessary.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environmental laws and regulations that may expose us to significant costs and liabilities.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gathering, treating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CERCLA, the CWA, the OPA, the RCRA, the Endangered Species Act and the Toxic Substances Control Act.</w:t>
      </w:r>
    </w:p>
    <w:p>
      <w:pPr>
        <w:spacing w:after="0" w:line="5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For additional information on specific laws and regulations, see the "Environmental Matters " section of Item 1. Business. 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is a risk that we may incur significant environmental costs and liabilities in connection with our operations due to historical industry operations and waste disposal practices, our handling of hydrocarbons and other wastes and potential emissions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spacing w:after="0" w:line="6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new presidential administration and Democratic control of Congress resulting from the 2020 elections may result in increased restrictions on oil and gas production activities, which could materially adversely affect our industry and our financial condition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greater than anticipated costs and liabilities as a result of pipeline safety requirements.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system is located. While the majority of our pipelines meet the DOT definition of gathering lines and are thus currently exempt from PHMSA's integrity management requirements, we also operate a limited number of pipelines that are subject to the integrity management requirements. The regulations require operators, including us, to:</w:t>
      </w:r>
    </w:p>
    <w:p>
      <w:pPr>
        <w:spacing w:after="0" w:line="87" w:lineRule="exact"/>
        <w:rPr>
          <w:sz w:val="20"/>
          <w:szCs w:val="20"/>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processes for data collection, integration and analysis;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repair and remediate pipelines as necessary;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adopt and maintain procedures, standards and training programs for control room operations;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additional information on PHMSA regulations relating to pipeline safety, see the "Regulation of the Natural Gas and Crude Oil Industries—Safety and Maintenance" section of Item 1. Business.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July 2018, the PHMSA issued an advance notice of proposed rulemaking seeking comment on the class location requirements for natural gas transmission pipelines, and particularly the actions operators must take when class locations change due to population growth or building construction near the pipeline. The associated notice of proposed rulemaking, issued October 14, 2020, proposes to amend the requirements for gas transmission pipeline segments that experience a change in class location by offering an alternative set of requirements operators could use, based on implementing integrity management principles and pipe eligibility criteria, to manage certain pipeline segments where the class location has changed from a Class 1 location to a Class 3 location. In October 2019, the PHMSA issued three new final rules. One rule, which became effective in December 2019,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which became effective in July 2020,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Further,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 While we believe that we are in compliance with existing safety laws and regulations, increased penalties for safety violations and potential regulatory changes could have a material adverse effect on our operations, operating and maintenance expenses and revenues.</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Climate change legislation, regulatory initiatives and litigation could result in increased operating costs and reduced demand for the services we provide.</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recent years, 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revisions to the NSPS found in 40 CFR 60 subpart OOOO (and OOOOa) include emission reduction requirements. In August 2020, the EPA issued two final rules that rescinded the methane-specific requirements of NSPS OOOO and OOOOa applicable to sources in the production and processing segments and removed the transmission and storage segment from the source category. However, these 2020 rules are being challenged in the U.S. Court of Appeals for the D.C. Circuit. In addition, President Biden’s January 20, 2021 Executive Order on “Protecting Public Health and the Environment and Restoring Science to Tackle the Climate Crisis” directed EPA to consider publishing a proposed rule suspending, revising, or rescinding the 2020 rules, as well as to consider establishing methane and VOC emission standards for existing sources in the oil and gas sector, including the transportation and storage segments.</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January 2019, the governor of New Mexico signed an executive order that includes a goal of reducing statewide GHG emissions by at least 45% by 2030. The executive order directs the New Mexico Energy, Minerals and Natural Resources Department (“EMNRD”) and the New Mexico Environment Department (“NMED”) to jointly develop a statewide, enforceable regulatory framework to secure reductions in oil and gas sector methane emissions. The executive order also creates a Climate Change Task Force to evaluate and develop regulatory strategies to reach the 45% reduction goal. In July 2020, NMED released draft rules that would establish emissions standards for VOCs and nitrogen oxides for oil and gas production and processing sources located in certain areas of the state with high ozone concentrations. Similarly, EMNRD released draft rules concerning venting and flaring of natural gas. Neither agency has yet issued a final rule. Although we cannot currently determine the effect of the proposed regulations developed by the EMNRD and the NMED or other potential regulatory strategies that may be suggested by the Climate Change Task Force, if implemented they could be material to the business, reputation, financial condition or results of operations of our Summit Permian system.</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PSD construction and Title V operating permit reviews for certain large stationary sources of GHG emissions. For additional information on EPA regulations adopted under the CAA, see the "Environmental Matters—Climate Change" section of Item 1. Business. Further, in December 2015, over 190 countries, including the United States, reached an agreement to reduce global GHG emissions. The agreement entered into force in November 2016 after over 70</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In addition, shortly after taking office in January 2021, President Biden issued a series of executive orders designed to address climate change. Reentry into the Paris Agreement and President Biden’s executive orders may result in the development of additional regulations or changes to existing regulations, which could have a material adverse effect on our business and that of our customers.</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it is not possible at this time to accurately estimate how potential future laws or regulations addressing GHG emissions would impact our business, either directly or indirectly, any future federal or state laws or implementing regulations that may be adopted to address GHG emissions could require us to incur increased operating costs and could materially adversely affect demand for our services. The potential increase in the costs of our operations resulting from any legislation or regulation to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 Finally, most scientists have concluded that increasing concentrations of GHGs in the Earth’s atmosphere may produce climate changes that have significant physical effects, such as increased frequency and severity of storms, droughts and floods and other climatic events. We cannot predict with any certainty at this time how these possibilities may affect our operations.</w:t>
      </w:r>
    </w:p>
    <w:p>
      <w:pPr>
        <w:spacing w:after="0" w:line="7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The implementation of statutory and regulatory requirements for swap transactions could have an adverse impact on our ability to hedge risks associated with our business and increase the working capital requirements to conduct these activities.</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Congress adopted comprehensive financial reform legislation under the Dodd-Frank Act that establishes federal oversight and regulation of the over-the-counter derivatives market and entities, such as us, that participate in that market. This legislation requires the CFTC and the SEC and other regulatory authorities to promulgate certain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While most of the regulations have been promulgated and are already in effect, the rulemaking and implementation process is still ongoing. Moreover, CFTC continues to refine its initial rulemakings under the Dodd-Frank Act. As a result, we cannot yet predict the ultimate effect of the rules and regulations on our business and while most of the regulations have been adopted, any new regulations or modifications to existing regulations could increase the cost of derivative contracts, limit the availability of derivatives to protect against risks that we encounter, reduce our ability to monetize or restructure our existing derivative contracts and increase our exposure to less creditworthy counterparties.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CFTC has proposed federal position limits on certain core futures and equivalent swaps contracts in the major energy and other markets, with exceptions for certain bona fide hedging transactions provided that various conditions are satisfied. If finalized, the position limits rule and its companion rule on aggregation among entities under common ownership or control may have an impact on our ability to hedge our exposure to certain enumerated commodities.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2013, the CFTC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recently adopted mandatory margin requirements on uncleared swaps between swap dealers and certain other counterparties. Although we may qualify for a commercial end-user exception from the mandatory clearing, trade execution and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spacing w:after="0" w:line="5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Under the Dodd-Frank Act, the CFTC is also directed generally to prevent price manipulation and fraud in the following two markets: (a) physical commodities traded in interstate commerce, including physical energy and other commodities, as well as (b) financial instruments, such as futures, options and swaps. Pursuant to the Dodd-Frank Act,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and material penalties, and sanctions.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enter into forward contracts with third parties to buy power and sell natural gas in an attempt to mitigate our exposure to fluctuations in the price of natural gas with respect to those volumes. The CFTC has finalized an interpretation clarifying whether certain forwards with volumetric optionality are regulated as forwards or qualify as options on commodities and therefore swaps. This interpretation may have an impact on our ability to enter into certain forwards or may impose additional requirements with respect to certain transactions.</w:t>
      </w:r>
    </w:p>
    <w:p>
      <w:pPr>
        <w:spacing w:after="0" w:line="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any transactions involving cross-border swaps more expensive and burdensome. Additionally, the lack of regulatory equivalency across jurisdictions may increase compliance costs and make it more costly to satisfy regulatory obligations.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opposition to the development, permitting, construction or operation of our pipelines and facilities from various groups.</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unitholders and, accordingly,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6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example, in an April 15, 2020 ruling, amended May 11, 2020, the U.S. District Court for the District of Montana issued an order invalidating the U.S. Army Corps of Engineers (“Corps”) 2017 reissuance of Nationwide Permit 12 (“NWP 12”), the general permit governing dredge-and-fill activities for pipeline and other utility line construction projects, to the extent it was used to authorize construction of new oil and gas pipelines. Environmental groups had alleged that the Corps failed to consult with federal wildlife agencies as required by the Endangered Species Act. The court’s decision vacated NWP 12 until the Corps completes consultation with the applicable federal wildlife agencies. On July 6, 2020, the U.S. Supreme Court granted in part the Corps’ request to stay the U.S. District Court’s decision to allow the use of NWP 12 for utility line activities, including new oil and gas pipelines, pending the outcome of the appeal to the U.S. Court of Appeals for the Ninth Circuit and any subsequent petition for review to the U.S. Supreme Court. Litigation is currently ongoing. In addition, in January 2021, the EPA and Corps reissued NWP 12 as a general permit specific to oil and gas pipelines, moving other utility line activities into separate general permits. However, the NWP reissuance is among the agency actions listed for review in accordance with the January 20, 2021 Executive Order: “Protecting Public Health and the Environment and Restoring Science to Tackle the Climate Crisis.” Limitations on the use of NWP 12 may make it more difficult to permit our projects, require consideration of alternative construction or siting, which may impose additional costs and delays, and could cause us to lose potential and current customers and limit our growth and revenue.</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on July 6, 2020, the U.S. District Court for the District of Columbia issued an order vacating a Corps Mineral Leasing Act easement for the Dakota Access Pipeline in a lawsuit filed by American Indian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the District Court has received briefing on whether to enjoin the operation of the pipeline as a result. The Dakota Access Pipeline continues to operate pending the District Court’s ruling or a decision by the Corps to order the pipeline to shut down. If the Dakota Access Pipeline is forced to shut down, this could have a material adverse effect on our business, financial condition and results of operations associated with the Polar and Divide System, which interconnects with the Dakota Access Pipeline.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 GHGs and climate change, before providing loans or investing in our common units. There is also a risk that financial institutions may adopt policies that have the effect of reducing the funding provided to the fossil fuel sector, such as the adoption of net zero financed emissions targets. Such policies may be hastened by actions under the Biden Administration, including the implementation by the Federal Reserve of any recommendations made by the Network for Greening the Financial System, a consortium of financial regulators focused on addressing climate-related risks in the financial sector.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spacing w:after="0" w:line="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regarding privacy and data protection (“data protection laws”). Many of these laws and regulations are subject to change and uncertain interpretation, and could result in claims, increased cost of operations or otherwise harm our business.</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Along with our own data and information in the normal course of our business, we and our partners collect and retain significant volumes of certain types of data, some of which are subject to specific laws and regulations. The transfer and use of this data both domestically and across international borders is becoming increasingly complex. The regulatory environment surrounding and the transfer and protection of such data is constantly evolving and can be subject to significant change. New data protection laws at the federal, state, international, national, provincial and local levels, including recent Colorado legislation, the European Union General Data Protection Regulation (“GDPR”) and the California Consumer Privacy Act (“CCPA”), pose increasingly complex compliance challenges and potentially elevate our costs.</w:t>
      </w:r>
    </w:p>
    <w:p>
      <w:pPr>
        <w:spacing w:after="0" w:line="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Complying with these jurisdictional requirements could increase the costs and complexity of compliance, and violations of applicable data protection laws can result in significant penalties. For example, the GDPR applies to activities regarding personal data that may be conducted by us, directly or indirectly through vendors and subcontractors, from an establishment in the European Union. Failure to comply could result in significant penalties of up to a maximum of 4% of our global turnover that may materially adversely affect our business, reputation, results of operations, and cash flows. Similarly, the CCPA, which came into effect on January 1, 2020, gives California residents specific rights in relation to their personal information, requires that companies take certain actions, including notifications for security incidents and may apply to activities regarding personal information that is collected by us, directly or indirectly, from California residents. As interpretation and enforcement of the CCPA evolves, it creates a range of new compliance obligations, which could cause us to change our business practices, with the possibility for significant financial penalties for noncompliance that may materially adversely affect our business, reputation, results of operations, and cash flows.</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noted above, we are also subject to the possibility of information security breaches, which themselves may result in a violation of these laws. Additionally, if we acquire a company that has violated or is not in compliance with applicable data protection laws, we may incur significant liabilities and penalties as a result.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Because our common units are yield-oriented securities, increases in interest rates could materially adversely impact our unit price, our ability to issue equity or incur debt for acquisitions or other purposes and our ability to make cash distributions to our unitholders.</w:t>
      </w: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Interest rates are generally near historic lows and may increase in the future. As with other yield-oriented securities, our unit price is impacted by the level of our cash distributions and implied distribution yield. The distribution yield is often used by investors to compare and rank yield-oriented securities for investment decision-making purposes. Therefore, changes in interest rates, either positive or negative, may affect the yield requirements of investors who invest in our common units, and a rising interest rate environment could have a material adverse impact on our unit price, our ability to issue equity or incur debt for acquisitions or other purposes and our ability to make cash distributions at our intended levels.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flows rather than on our profitability, which may prevent us from making distributions, even during periods in which we record net income.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cash we have available for distribution depends primarily upon our cash flows and not solely on profitability, which will be affected by non-cash items. As a result, we may make cash distributions during periods when we report net losses for GAAP purposes and may not make cash distributions during periods when we report net income for GAAP purposes.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may fluctuate significantly and, due to limited daily trading volumes, an investor could lose all or part of its investment in us.</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An investor may not be able to resell its common units at or above its acquisition price. Additionally, limited liquidity may result in wide bid-ask spreads, contribute to significant fluctuations in the market price of the common units and limit the number of investors who are able to buy the common units.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units may decline and be influenced by many factors, some of which are beyond our control, including among others:</w:t>
      </w:r>
    </w:p>
    <w:p>
      <w:pPr>
        <w:spacing w:after="0" w:line="140" w:lineRule="exact"/>
        <w:rPr>
          <w:sz w:val="20"/>
          <w:szCs w:val="20"/>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distributions, if any;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a large customer;</w:t>
      </w:r>
    </w:p>
    <w:p>
      <w:pPr>
        <w:spacing w:after="0" w:line="117" w:lineRule="exact"/>
        <w:rPr>
          <w:rFonts w:ascii="Arial" w:cs="Arial" w:eastAsia="Arial" w:hAnsi="Arial"/>
          <w:sz w:val="18"/>
          <w:szCs w:val="18"/>
          <w:color w:val="auto"/>
        </w:rPr>
      </w:pPr>
    </w:p>
    <w:p>
      <w:pPr>
        <w:ind w:left="800" w:right="400" w:hanging="401"/>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our customers or others regarding our customers or changes in our customers’ credit ratings, liquidity position, leverage profile and/or other financial or credit-related metrics;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our competitors of significant contracts or acquisitions;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and geopolitical conditions;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units or changes in financial estimates by analysts;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unitholders and those of our officers and directors with contractual standards governing their duties.</w:t>
      </w:r>
    </w:p>
    <w:p>
      <w:pPr>
        <w:spacing w:after="0" w:line="6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Our Partnership Agreement contains provisions that eliminate fiduciary duties to which our General Partner and its officers and directors would otherwise be held by state fiduciary duty law and replaces those duties with several different contractual standards.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By purchasing a common unit, a common unitholder agrees to become bound by the provisions in the Partnership Agreement, including the provisions discussed above.</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Our Partnership Agreement limits the liabilities of our General Partner and its officers and directors and the rights of our unitholders with respect to actions taken by our General Partner and its officers and directors that might otherwise constitute breaches of fiduciary duty.</w:t>
      </w:r>
    </w:p>
    <w:p>
      <w:pPr>
        <w:spacing w:after="0" w:line="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Partnership Agreement contains provisions that limit the liability of our General Partner and the rights of our unitholders with respect to actions taken by our General Partner that might otherwise constitute breaches of fiduciary duty under state fiduciary duty law. For example, our Partnership Agreement provides that:</w:t>
      </w:r>
    </w:p>
    <w:p>
      <w:pPr>
        <w:spacing w:after="0" w:line="76" w:lineRule="exact"/>
        <w:rPr>
          <w:sz w:val="20"/>
          <w:szCs w:val="20"/>
          <w:color w:val="auto"/>
        </w:rPr>
      </w:pPr>
    </w:p>
    <w:p>
      <w:pPr>
        <w:ind w:left="800" w:right="180" w:hanging="401"/>
        <w:spacing w:after="0" w:line="25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whenever our General Partner makes a determination or takes, or declines to take, any other action in its capacity as our General Partner, our General Partner is required to make such determination, or take or decline to take such other action, in good faith, meaning that it subjectively believed that the decision was in our best interests, and will not be subject to any other or different standard imposed by our Partnership Agreement, Delaware law, or any other law, rule or regulation, or at equity;</w:t>
      </w:r>
    </w:p>
    <w:p>
      <w:pPr>
        <w:spacing w:after="0" w:line="78" w:lineRule="exact"/>
        <w:rPr>
          <w:rFonts w:ascii="Arial" w:cs="Arial" w:eastAsia="Arial" w:hAnsi="Arial"/>
          <w:sz w:val="18"/>
          <w:szCs w:val="18"/>
          <w:color w:val="auto"/>
        </w:rPr>
      </w:pPr>
    </w:p>
    <w:p>
      <w:pPr>
        <w:ind w:left="800" w:right="280" w:hanging="401"/>
        <w:spacing w:after="0" w:line="27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will not have any liability to us or our unitholders for decisions made in its capacity as a General Partner so long as such decisions are made in good faith;</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160" w:hanging="401"/>
        <w:spacing w:after="0" w:line="279"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General Partner and its officers and directors will not be liable for monetary damages to us, our limited partners or their assignees resulting from any act or omission unless there has been a final and non-appealable judgment entered by a court of competent jurisdiction determining that our General Partner or its officers and directors, as the case may be, acted in bad faith or engaged in fraud or willful misconduct or, in the case of a criminal matter, acted with knowledge that the conduct was criminal; and</w:t>
      </w:r>
    </w:p>
    <w:p>
      <w:pPr>
        <w:spacing w:after="0" w:line="63" w:lineRule="exact"/>
        <w:rPr>
          <w:rFonts w:ascii="Arial" w:cs="Arial" w:eastAsia="Arial" w:hAnsi="Arial"/>
          <w:sz w:val="17"/>
          <w:szCs w:val="17"/>
          <w:color w:val="auto"/>
        </w:rPr>
      </w:pPr>
    </w:p>
    <w:p>
      <w:pPr>
        <w:ind w:left="800" w:right="100" w:hanging="401"/>
        <w:spacing w:after="0" w:line="277"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unitholders if a transaction with an affiliate or the resolution of a conflict of interest is:</w:t>
      </w:r>
    </w:p>
    <w:p>
      <w:pPr>
        <w:spacing w:after="0" w:line="62" w:lineRule="exact"/>
        <w:rPr>
          <w:rFonts w:ascii="Arial" w:cs="Arial" w:eastAsia="Arial" w:hAnsi="Arial"/>
          <w:sz w:val="18"/>
          <w:szCs w:val="18"/>
          <w:color w:val="auto"/>
        </w:rPr>
      </w:pPr>
    </w:p>
    <w:p>
      <w:pPr>
        <w:ind w:left="1580" w:hanging="398"/>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approved by the Conflicts Committee, although our General Partner is not obligated to seek such approval;</w:t>
      </w:r>
    </w:p>
    <w:p>
      <w:pPr>
        <w:spacing w:after="0" w:line="117" w:lineRule="exact"/>
        <w:rPr>
          <w:rFonts w:ascii="Arial" w:cs="Arial" w:eastAsia="Arial" w:hAnsi="Arial"/>
          <w:sz w:val="18"/>
          <w:szCs w:val="18"/>
          <w:color w:val="auto"/>
        </w:rPr>
      </w:pPr>
    </w:p>
    <w:p>
      <w:pPr>
        <w:ind w:left="1580" w:right="80" w:hanging="398"/>
        <w:spacing w:after="0" w:line="277" w:lineRule="auto"/>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62" w:lineRule="exact"/>
        <w:rPr>
          <w:rFonts w:ascii="Arial" w:cs="Arial" w:eastAsia="Arial" w:hAnsi="Arial"/>
          <w:sz w:val="18"/>
          <w:szCs w:val="18"/>
          <w:color w:val="auto"/>
        </w:rPr>
      </w:pPr>
    </w:p>
    <w:p>
      <w:pPr>
        <w:ind w:left="1580" w:hanging="398"/>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terms no less favorable to us than those generally being provided to or available from unrelated third parties; or</w:t>
      </w:r>
    </w:p>
    <w:p>
      <w:pPr>
        <w:spacing w:after="0" w:line="117" w:lineRule="exact"/>
        <w:rPr>
          <w:rFonts w:ascii="Arial" w:cs="Arial" w:eastAsia="Arial" w:hAnsi="Arial"/>
          <w:sz w:val="18"/>
          <w:szCs w:val="18"/>
          <w:color w:val="auto"/>
        </w:rPr>
      </w:pPr>
    </w:p>
    <w:p>
      <w:pPr>
        <w:ind w:left="1580" w:right="100" w:hanging="398"/>
        <w:spacing w:after="0" w:line="277" w:lineRule="auto"/>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among the parties involved, including other transactions that may be particularly favorable or advantageous to us.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a situation involving a transaction with an affiliate or a conflict of interest, any determination by our General Partner or the Conflicts Committee must be made in good faith. If an affiliate transaction or the resolution of a conflict of interest is not approved by our common unitholders or the Conflicts Committee and the Board of Directors determines that the resolution or course of action taken with respect to the affiliate transaction or conflict of interest satisfies either of the standards set forth in the final two subclauses above, then it will be presumed that, in making its decision, the Board of Directors acted in good faith, and in any proceeding brought by or on behalf of any limited partner or the partnership, the person bringing or prosecuting such proceeding will have the burden of overcoming such presumption.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Unitholders' voting rights are further restricted by a provision of our Partnership Agreement providing that any person or group that owns 20% or more of any class of units then outstanding cannot vote on any matter, other than our General Partner, its affiliates, their transferees and persons who acquired such units with the prior approval of the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ownership interests.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Except in the case of the issuance of units that rank equal to or senior to the Series A Preferred Units, our Partnership Agreement does not limit the number of additional limited partner interests, including limited partner interests that rank senior to the common units that we may issue at any time without the approval of our unitholders.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issue additional Series A Preferred Units and any securities in parity with the Series A Preferred Units without any vote of the holders of the Series A Preferred Units (except where the cumulative distributions on the Series A Preferred Units or any parity securities are in arrears and in certain other circumstances) and without the approval of our common unitholders.</w:t>
      </w:r>
    </w:p>
    <w:p>
      <w:pPr>
        <w:spacing w:after="0" w:line="7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issuance by us of additional common units or other equity securities of equal or senior rank will decrease our existing unitholders' proportionate ownership interest in us. In addition, the issuance by us of additional common units or other equity securities of equal or senior rank may have the following effects:</w:t>
      </w:r>
    </w:p>
    <w:p>
      <w:pPr>
        <w:spacing w:after="0" w:line="76" w:lineRule="exact"/>
        <w:rPr>
          <w:sz w:val="20"/>
          <w:szCs w:val="20"/>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decreasing the amount of cash available for distribution on each unit;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ratio of taxable income to distributions;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diminishing the relative voting strength of each previously outstanding unit;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causing the market price of the common units to decline.</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Future issuances and sales of parity securities, or the perception that such issuances and sales could occur, may cause prevailing market prices for our common units and the Series A Preferred Units to decline and may adversely affect our ability to raise additional capital in the financial markets at times and prices favorable to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Furthermore, the payment of distributions on any additional units may increase the risk that we will not be able to make distributions at our prior per unit distribution levels. To the extent new units are senior to our common units, including units issued to third parties at a subsidiary level, their issuance will increase the uncertainty of the payment of distributions on our common units.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Series A Preferred Units have limited voting rights, which may be diluted.</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Although holders of the Series A Preferred Units are entitled to limited voting rights with respect to certain matters, the Series A Preferred Units generally vote separately as a class along with any other series of our parity securities that we may issue upon which like voting rights have been conferred and are exercisable. As a result, the voting rights of holders of Series A Preferred Units may be significantly diluted, and the holders of such other series of parity securities that we may issue may be able to control or significantly influence the outcome of any vote.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an investor to sell its units at an undesirable time or price.</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If at any time our General Partner and its affiliates own more than 80% of our outstanding common units, our General Partner will have the right, which it may assign to any of its affiliates or to us, but not the obligation, to acquire all, but not less than all, of the common units held by unaffiliated persons at a price that is not less than their then-current market price, as calculated pursuant to the terms of our Partnership Agreement. As a result, an investor may be required to sell its common units at an undesirable time or price and may not receive any return on its investment. An investor may also incur a tax liability upon a sale of its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investor's liability may not be limited if a court finds that unitholder action constitutes control of our business.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General Partner of a partnership generally has unlimited liability for the obligations of the partnership, except for those contractual obligations of the partnership that are expressly made without recourse to the General Partner. Our partnership is organized under Delaware law, and we conduct business in a number of other states. The limitations on the liability of holders of limited partner interests for the obligations of a limited partnership have not been clearly established in some of the other states in which we do business. An investor could be liable for any and all of our obligations as if it was a General Partner if a court or government agency were to determine that:</w:t>
      </w:r>
    </w:p>
    <w:p>
      <w:pPr>
        <w:spacing w:after="0" w:line="80" w:lineRule="exact"/>
        <w:rPr>
          <w:sz w:val="20"/>
          <w:szCs w:val="20"/>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were conducting business in a state but had not complied with that particular state's partnership statute; or</w:t>
      </w:r>
    </w:p>
    <w:p>
      <w:pPr>
        <w:spacing w:after="0" w:line="117" w:lineRule="exact"/>
        <w:rPr>
          <w:rFonts w:ascii="Arial" w:cs="Arial" w:eastAsia="Arial" w:hAnsi="Arial"/>
          <w:sz w:val="18"/>
          <w:szCs w:val="18"/>
          <w:color w:val="auto"/>
        </w:rPr>
      </w:pPr>
    </w:p>
    <w:p>
      <w:pPr>
        <w:ind w:left="800" w:right="520" w:hanging="401"/>
        <w:spacing w:after="0" w:line="277"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investor's right to act with other unitholders to remove or replace our General Partner, to approve some amendments to our Partnership Agreement or to take other actions under our Partnership Agreement constitute control of our business.</w:t>
      </w:r>
    </w:p>
    <w:p>
      <w:pPr>
        <w:spacing w:after="0" w:line="6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Our Partnership Agreement designates the Court of Chancery of the State of Delaware as the exclusive forum for certain types of actions and proceedings that may be initiated by our unitholders, which limits our unitholders’ ability to choose the judicial forum for disputes with us or our General Partner’s directors, officers or other employees.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Partnership Agreement provides that, with certain limited exceptions, the Court of Chancery of the State of Delaware is the exclusive forum for any claims, suits, actions or proceedings (1) arising out of or relating in any way to our Partnership Agreement (including any claims, suits or actions to interpret, apply or enforce the provisions of our Partnership Agreement or the duties, obligations or liabilities among our partners, or obligations or liabilities of our partners to us, or the rights or powers of, or restrictions on, our partners or us), (2) brought in a derivative manner on our behalf, (3) asserting a claim of breach of a duty (including a fiduciary duty) owed by any of our, or our General Partner’s, directors, officers, or other employees, or owed by our General Partner, to us or our partners, (4) asserting a claim against us arising pursuant to any provision of the Delaware Revised Uniform Limited Partnership Act or (5) asserting a claim against us governed by the internal affairs doctrine. Any person or entity purchasing or otherwise acquiring any interest in our common units is deemed to have received notice of and consented to the foregoing provisions. This exclusive forum provision does not apply to a cause of action brought under federal or state securities laws. Although management believes this choice of forum provision benefits us by providing increased consistency in the application of Delaware law in the types of lawsuits to which it applies, the provision may have the effect of discouraging lawsuits against us and our General Partner’s directors and officers. The enforceability of similar choice of forum provisions in other companies’ certificates of incorporation or similar governing documents has been challenged in legal proceedings and it is possible that in connection with any action a court could find the choice of forum provisions contained in our Partnership Agreement to be inapplicable or unenforceable in such action. If a court were to find this choice of forum provision inapplicable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to, or unenforceable in respect of, one or more of the specified types of actions or proceedings, we may incur additional costs associated with resolving such matters in other jurisdictions, which could adversely affect our financial position, results of operations and ability to make cash distributions to our unitholders.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 that were wrongfully distributed to them.</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certain circumstances, unitholders may have to repay amounts wrongfully returned or distributed to them. Under Delaware law, we may not make a distribution if the distribution would cause our liabilities to exceed the fair value of our assets.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Substituted limited partners are liable both for the obligations of the assignor to make contributions to the partnership that were known to the substituted limited partner at the time it became a limited partner and for those obligations that were unknown if the liabilities could have been determined from the Partnership Agreement. Neither liabilities to partners on account of their partnership interest nor liabilities that are non-recourse to the partnership are counted for purposes of determining whether a distribution is permitted.</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 investor is not an eligible holder, it may not receive distributions or allocations of income or loss on those common units and those common units will be subject to redemption.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certain requirements regarding those investors who may own our common units and Series A Preferred Units. Eligible holders are U.S. individuals or entities subject to U.S. federal income taxation on the income generated by us or entities not subject to U.S. federal income taxation on the income generated by us, so long as all of the entity's owners are U.S. individuals or entities subject to such taxation. If an investor is not an eligible holder, our General Partner may elect not to make distributions or allocate income or loss on that investor's units, and it runs the risk of having its units redeemed by us at the lower of purchase price cost or the then-current market price. The redemption price may be paid in cash or by delivery of a promissory note, as determined by our General Partner.</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Series A Preferred Units have rights, preferences and privileges that are not held by, and are preferential to the rights of, holders of our common units.</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Series A Preferred Units rank senior to our common units with respect to distribution rights and rights upon liquidation. These preferences could adversely affect the market price for our common units or could make it more difficult for us to sell our common units in the future.</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 prior to December 15, 2022, distributions on the Series A Preferred Units accumulate and are cumulative at the rate of 9.50% per annum of $1,000, the liquidation preference of the Series A Preferred Units and (ii) on and after December 15, 2022, distributions on the Series A Preferred Units will accumulate for each distribution period at a percentage of $1,000 equal to the three-month LIBOR plus a spread of 7.43%. On May 3, 2020, we announced the suspension of distributions payable on both our common units and our Series A Preferred Units. We did not make a distribution on our common units with respect to any quarter in 2020, nor did we make a distribution on our Series A Preferred Units on June 15, 2020 or December 15, 2020. As of December 31, 2020, the amount of accrued and unpaid distributions on the Series A Preferred Units was $15.8 million. Unpaid distributions on the Series A Preferred Units will continue to accrue.</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Subsidiary Series A Preferred Units issued by Permian Holdco have priority over the common unitholders with respect to the cash flow from Permian Holdco. The distribution rate of the Subsidiary Series A Preferred Units is 7.00% per annum of the $1,000 issue amount per outstanding Subsidiary Series A Preferred Unit. Permian Holdco has the option to pay this distribution in-kind until the earlier of June 30, 2022 or the first full quarter following the date the Double E pipeline is placed in service.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obligation to pay distributions on our Series A Preferred Units and Permian Holdco’s obligation to pay the distributions on the Subsidiary Series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Series A Preferred Units contain covenants that may limit our business flexibility.</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Series A Preferred Units contain covenants preventing us from taking certain actions without the approval of the holders of 66 2/3% of the Series A Preferred Units. The need to obtain the approval of holders of the Series A Preferred Units before taking these actions could impede our ability to take certain actions that management or the Board of Directors may consider to be in the best interests of our unitholders. The affirmative vote of 66 2/3% of the outstanding Series A Preferred Units, voting as a single class, is necessary to amend the Partnership Agreement in any manner that would have a material adverse effect on the existing preferences, rights, powers, duties or obligations of the Series A Preferred Units. The affirmative vote of 66 2/3% of the outstanding Series A Preferred Units and any outstanding series of other preferred units, voting as a single class, is necessary to (A) under certain circumstances, create or issue certain equity securities that are senior to our common units, (B) declare or pay any distribution to common unitholders out of capital surplus or (C) take any action that would result in an event of default for failure to comply with any covenant in the indentures governing the 5.5% Senior Notes or the 2025 Senior Notes co-issued by Summit Holdings and its 100% owned finance subsidiary, Finance Corp.</w:t>
      </w:r>
    </w:p>
    <w:p>
      <w:pPr>
        <w:spacing w:after="0" w:line="5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Although holders of the Series A Preferred Units are entitled to limited voting rights with respect to certain matters, the Series A Preferred Units generally vote as a class, separate from our common unitholders, along with any other series of our parity securities that we may issue upon which like voting rights have been conferred and are exercisable.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federal income tax purposes. If the IRS were to treat us as a corporation for federal income tax purposes, which would subject us to entity-level taxation, then our cash available for distribution to our unitholders would be substantially reduced.</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anticipated after-tax economic benefit of an investment in our units depends largely on our being treated as a partnership for federal income tax purposes.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Despite the fact that we are a limited partnership under Delaware law, it is possible in certain circumstances for a partnership such as ours to be treated as a corporation for federal income tax purposes. A change in our business or a change in current law could cause us to be treated as a corporation for federal income tax purposes or otherwise subject us to taxation as an entity.</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were treated as a corporation for federal income tax purposes, we would pay federal income tax on our taxable income at the corporate tax rate, which is currently 21%, and would likely pay state and local income tax at varying rates. Distributions to our unitholders would generally be taxed again as corporate dividends (to the extent of our current and accumulated earnings and profits), and no income, gains, losses, deductions, or credits would flow through to our unitholders. Because a tax would be imposed upon us as a corporation, our cash available for distribution would be substantially reduced. Therefore, if we were treated as a corporation for federal income tax purposes, there would be material reductions in the anticipated cash flow and after-tax return to our unitholders, likely causing a substantial reduction in the value of our units. This could adversely affect our financial position, results of operations and ability to make distributions to our unitholders.</w:t>
      </w:r>
    </w:p>
    <w:p>
      <w:pPr>
        <w:spacing w:after="0" w:line="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were subjected to a material amount of additional entity-level taxation by individual states, it would reduce our cash available for distribution to our unitholders.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Changes in current state law may subject us to additional entity-level taxation by individual states. Because of widespread state budget deficits and other reasons, several states are evaluating ways to subject partnerships to entity-level taxation through the imposition of state income, franchise and other forms of taxation. Imposition of any such taxes may substantially reduce the cash available for distribution.</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62"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present U.S. federal income tax treatment of publicly traded partnerships, including us, or an investment in our units may be modified by administrative, legislative or judicial changes or differing interpretations at any time. From time to time, members of the U.S. Congress propose and consider substantive changes to the existing federal income tax laws that affect publicly traded partnerships.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Any modification to the U.S. federal income tax laws and interpretations could make it more difficult or impossible to meet the exception for us to be treated as a partnership for U.S. federal income tax purposes. We are unable to predict whether any such changes will ultimately be enacted, but it is possible that a change in law could affect us and may, if enacted, be applied retroactively. Any such changes could negatively impact the value of an investment in our units.</w:t>
      </w:r>
    </w:p>
    <w:p>
      <w:pPr>
        <w:spacing w:after="0" w:line="7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Our unitholders are required to pay income taxes on their share of our taxable income even if they do not receive any cash distributions from us. A unitholder’s share of our taxable income, and its relationship to any distributions we make, may be affected by a variety of factors, including our economic performance, transactions in which we engage or changes in law and may be substantially different from any estimate we make in connection with a unit offering.</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unitholder’s allocable share of our taxable income will be taxable to it, which may require the unitholder to pay federal income taxes and, in some cases, state and local income taxes, even if the unitholder receives cash distributions from us that are less than the actual tax liability that results from that income or no cash distributions at all.</w:t>
      </w:r>
    </w:p>
    <w:p>
      <w:pPr>
        <w:spacing w:after="0" w:line="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 For instance, under Tax Reform Legislation, the net interest expense deductions of certain business entities, including us, are limited to 30% of such entity’s “adjusted taxable income,” which is generally taxable income with certain modifications. If the limit applies, a unitholder’s taxable income allocations will be more (or its net loss allocations will be less) than would have been the case absent the limitation.</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From time to time, in connection with an offering of our common units, we may state an estimate of the ratio of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We have engaged in recent transactions that generated substantial COD income on a per unit basis relative to the trading price of our common units. We may engage in other transactions that result in substantial COD income or other gains in the future, and such events may cause a unitholder to be allocated income with respect to our units with no corresponding distribution of cash to fund the payment of the resulting tax liability to the unitholder.</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unitholder’s share of our taxable income will include any COD income recognized upon the satisfaction of our outstanding indebtedness for total consideration less than the adjusted issue price (and any accrued but unpaid interest) of such indebtedness. In 2020, we engaged in various liability management transactions that resulted in substantial COD income. We may engage in other transactions that result in substantial COD income or other gains, such as gains upon assets sales, in the future. Depending upon the net amount of other items related to our loss (or income) allocable to a unitholder, any COD income or other gains may cause a unitholder to be allocated income with respect to our units with no corresponding distribution of cash to fund the payment of the resulting tax liability to the unitholder. Furthermore, such COD income event or other gain event may not be fully offset, either now or in the future, by capital losses, which are subject to significant limitations, or other losses. Accordingly, a COD income event or other gain event could cause a unitholder to realize taxable income without corresponding future economic benefits or offsetting tax deductions.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IRS contests the federal income tax positions we take, the market for our units may be adversely impacted and the cost of any IRS contest would likely reduce our cash available for distribution to our unitholders.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IRS may adopt positions that differ from the conclusions of our counsel expressed in a prospectus or from the positions we take, and the IRS's positions may ultimately be sustained. It may be necessary to resort to administrative or court proceedings to sustain some or all of our counsel’s conclusions or the positions we take and such positions may not ultimately be sustained. A court may not agree with some or all of our counsel’s conclusions or the positions we take. Any contest with the IRS, and the outcome of any IRS contest, may have a materially adverse effect on the market for our units and the price at which they trade. In addition, our costs of any contest with the IRS would be borne indirectly by our unitholders because the costs would likely reduce our cash available for distribution.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under the Tax Reform Legislation, our deduction for “business interest” is limited to the sum of our business interest income and 30% of our “adjusted taxable income.” For purposes of this limitation, our adjusted taxable income is computed without regard to any business interest expense or business interest income, and in the case of taxable years, beginning before January 1, 2022, any deduction allowable for depreciation, amortization, or depletion. For our 2020 taxable year, the Coronavirus Aid, Relief, and Economic Security Act increases the 30% adjusted taxable income limitation to 50%, unless we elect not to apply such increase, and for purposes of determining our 50% adjusted taxable income limitation, we may elect to substitute our 2020 adjusted taxable income with our 2019 adjusted taxable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units could be more or less than expected.</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 unitholder sells its units, a gain or loss will be recognized for federal income tax purposes equal to the difference between the amount realized and the unitholder's tax basis in those units. Because distributions in excess of a unitholder's allocable share of its net taxable income decrease its tax basis in its units, the amount, if any, of such prior excess distributions with respect to the units it sells will, in effect, become taxable income to the unitholder if it sells such units at a price greater than its tax basis in those units, even if the price it receives is less than its original cost. Furthermore, a substantial portion of the amount realized on any sale or other disposition of a unitholder's units, whether or not representing gain, may be taxed as ordinary income due to potential recapture items, including depreciation recapture. In addition, because the amount realized includes a unitholder's share of our nonrecourse liabilities, if a unitholder sells its units, it may incur a tax liability in excess of the amount of cash it receives from the sale.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entities and non-U.S. persons face unique tax issues from owning our units that may result in adverse tax consequences to them.</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Investment in our units by tax-exempt entities, such as employee benefit plans and individual retirement accounts (“IRAs”), and non-U.S. persons raises issues unique to them. For example, virtually all of our income allocated to an organization that is exempt from federal income tax, including IRAs and other retirement plans, will be unrelated business taxable income (“UBTI”) and will be taxable to the exempt organization as UBTI on the exempt organization’s tax return in the year the exempt organization is allocated the income. Under the Tax Reform Legislation, an exempt organization is required to independently compute its UBTI from each separate unrelated trade or business which may prevent an exempt organization from utilizing losses we allocate to the organization against the organization’s UBTI from other sources and vice versa. Distributions to non-U.S. persons will be reduced by withholding taxes at the highest applicable effective tax rate, and non-U.S. persons will be required to file federal income tax returns and applicable state tax returns and pay tax on their share of our taxable income.</w:t>
      </w:r>
    </w:p>
    <w:p>
      <w:pPr>
        <w:spacing w:after="0" w:line="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the Tax Reform Legislation, if a unitholder sells or otherwise disposes of a unit, the transferee is required to withhold 10.0% of the amount realized by the transferor unless the transferor certifies that it is not a foreign person, and we are required to deduct and withhold from the transferee amounts that should have been withheld by the transferee but were not withheld. However, the U.S. Treasury and the IRS have suspended these rules for transfers of certain publicly traded partnership interests, including transfers of our common units, that occur before January 1, 2022. Under recently finalized Treasury Regulations, such withholding will be required on open market transactions, but in the case of a transfer made through a broker, a partner’s share of liabilities will be excluded from the amount realized. In addition, the obligation to withhold will be imposed on the broker instead of the transferee (and we will generally not be required to withhold from the transferee amounts that should have been withheld by the transferee but were not withheld). These withholding obligations will apply to transfers of our common units occurring on or after January 1, 2022.</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treat each holder of our common units as having the same tax benefits without regard to the actual common units held. The IRS may challenge this treatment, which could adversely affect the value of the common units.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our unitholders. A successful IRS challenge also could affect the timing of these tax benefits or the amount of gain from a unitholder’s sale of common units and could have a negative impact on the value of our common units or result in audit adjustments to the unitholder’s tax returns.</w:t>
      </w:r>
    </w:p>
    <w:p>
      <w:pPr>
        <w:spacing w:after="0" w:line="4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Treatment of distributions on our Series A Preferred Units as guaranteed payments for the use of capital creates a different tax treatment for the holders of our Series A Preferred Units than the holders of our common units and such distributions are not eligible for the 20% deduction for qualified publicly traded partnership income.</w:t>
      </w:r>
    </w:p>
    <w:p>
      <w:pPr>
        <w:spacing w:after="0" w:line="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tax treatment of distributions on our Series A Preferred Units is uncertain. We will treat the holders of Series A Preferred Units as partners for tax purposes and will treat distributions on the Series A Preferred Units as guaranteed payments for the use of capital that will generally be taxable to the holders of Series A Preferred Units as ordinary income. Although a holder of Series A Preferred Units could recognize taxable income from the accrual of such a guaranteed payment even in the absence of a contemporaneous distribution, we anticipate accruing and making the guaranteed payment distributions semi-annually on the 15th day of June and December through December 15, 2022, and quarterly on the 15th day of March, June, September and December thereafter. Because the guaranteed payment for each unit must accrue as income to a holder during the taxable year of the accrual, the guaranteed payment attributable to the period beginning December 15th and ending December 31st will accrue to the holder of record of a Series A Preferred Unit on December 31st for such period. Otherwise, except in the case of our liquidation, the holders of Series A Preferred Units are generally not anticipated to share in our items of income, gain, loss or deduction. We will not allocate any share of its nonrecourse liabilities to the holders of Series A Preferred Units.</w:t>
      </w:r>
    </w:p>
    <w:p>
      <w:pPr>
        <w:spacing w:after="0" w:line="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Treasury Regulations provide that a guaranteed payment for the use of capital generally is not taken into account for purposes of computing qualified business income for purposes of the 20% deduction for qualified publicly traded partnership will not constitute an allocable or distributive share of such income. As a result, the guaranteed payment for use of capital received by holders of our Series A Preferred Units may not be eligible for the 20% deduction for qualified publicly traded partnership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holder of Series A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A Preferred Units. Subject to general rules requiring a blended basis among multiple partnership interests, the tax basis of a Series A Preferred Unit will generally be equal to the sum of the cash and the fair market value of other property paid by the holder to acquire such Series A Preferred Unit. Gain or loss recognized by a holder on the sale or exchange of a Series A Preferred Unit held for more than one year generally will be taxable as long-term capital gain or loss. Because holders of Series A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Investment in the Series A Preferred Units by tax-exempt investors, such as employee benefit plans and IRAs, and non-U.S. persons raises issues unique to them. Although the issue is not free from doubt, we will treat distributions to non-U.S. holders of the Series A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tax-exempt investors is not certain and such payments may be treated as unrelated business taxable income for federal income tax purposes.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All holders of our Series A Preferred Units are urged to consult a tax advisor with respect to the consequences of owning our Series A Preferred Units.</w:t>
      </w:r>
    </w:p>
    <w:p>
      <w:pPr>
        <w:spacing w:after="0" w:line="140" w:lineRule="exact"/>
        <w:rPr>
          <w:sz w:val="20"/>
          <w:szCs w:val="20"/>
          <w:color w:val="auto"/>
        </w:rPr>
      </w:pPr>
    </w:p>
    <w:p>
      <w:pPr>
        <w:jc w:val="both"/>
        <w:ind w:right="240"/>
        <w:spacing w:after="0" w:line="340" w:lineRule="auto"/>
        <w:rPr>
          <w:sz w:val="20"/>
          <w:szCs w:val="20"/>
          <w:color w:val="auto"/>
        </w:rPr>
      </w:pPr>
      <w:r>
        <w:rPr>
          <w:rFonts w:ascii="Arial" w:cs="Arial" w:eastAsia="Arial" w:hAnsi="Arial"/>
          <w:sz w:val="15"/>
          <w:szCs w:val="15"/>
          <w:b w:val="1"/>
          <w:bCs w:val="1"/>
          <w:i w:val="1"/>
          <w:iCs w:val="1"/>
          <w:color w:val="auto"/>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Treasury Regulations allow a similar monthly simplifying convention, but do not specifically authorize the use of the proration method we have adopted. If the IRS were to challenge our proration method, or if new Treasury Regulations were issued, we may be required to change the allocation of items of income, gain, loss and deduction among our unitholders.</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A unitholder whose units are loaned to a “short seller” to cover a short sale of units may be considered as having disposed of those units. If so, the unitholder would no longer be treated for federal income tax purposes as a partner with respect to those units during the period of the loan and may recognize gain or loss from the disposition.</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a unitholder whose units are loaned to a “short seller” to cover a short sale of units may be considered as having disposed of the loaned units, the unitholder may no longer be treated for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loaning their units.</w:t>
      </w:r>
    </w:p>
    <w:p>
      <w:pPr>
        <w:spacing w:after="0" w:line="87"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have adopted certain valuation methodologies and monthly conventions for U.S. federal income tax purposes that may result in a shift of income, gain, loss and deduction among our unitholders. The IRS may challenge this treatment, which could adversely affect the value of our units.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issue additional units or engage in certain other transactions, we will determine the fair market value of our assets. Although we may from time to time consult with professional appraisers regarding valuation matters, we make many fair market value estimates using a methodology based on the market value of our units as a means to measure the fair market value of our assets. The IRS may challenge these valuation methods and the resulting allocations of income, gain, loss and deduction.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taxable gain from our unitholders' sale of units and could have a negative impact on the value of the units or result in audit adjustments to our unitholders' tax returns without the benefit of additional deductions.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the IRS (and some states) may collect any resulting taxes (including any applicable penalties and interest) resulting from such audit adjustment directly from us, in which case we may require our unitholders and former unitholders to reimburse us for such taxes (including any applicable penalties or interest) or, if we are required to bear such payment, our cash available for distribution to our unitholders could be substantially reduced.</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IRS makes audit adjustments to our income tax returns, it may collect any resulting taxes (including any applicable penalties and interest) directly from us. We will generally have the ability to shift any such tax liability to our unitholders in accordance with their interests in us during the year under audit, but there can be no assurance that we will be able to do so (and will choose to do so) under all circumstances, or that we will be able to (or choose to) effect corresponding shifts in state income or similar tax liability resulting from the IRS adjustment in states in which we do business in the year under audit or in the adjustment year. If, we make payments of taxes, penalties and interest resulting from audit adjustments, we may require our unitholders and former unitholders to reimburse us for such taxes (including any applicable penalties or interest) or, if we are required to bear such payment, our cash available for distribution to our unitholders could be substantially reduced. Additionally, we may be required to allocate an adjustment disproportionately among our unitholders, causing the publicly traded units to have different capital accounts, unless the IRS issues further guidance.</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 result of investing in our units, our unitholders will likely be subject to state and local taxes and return filing requirements in jurisdictions where we operate or own or acquire properties.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federal income taxes, our unitholders will likely be subject to other taxes, including state and local taxes, unincorporated business taxes and estate, inheritance or intangible taxes that are imposed by the various jurisdictions in which we conduct business or control property now or in the future, even if the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Some of the states in which we conduct business currently impose a personal income tax on individuals. As we make acquisitions or expand our business, we may control assets or conduct business in additional states that impose a personal income tax. It is the unitholder's responsibility to file all federal, state and local tax returns.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and changes in tax laws could adversely affect our performance.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extensive tax laws and regulations, including federal and state income taxes and transactional taxes such as excise, sales/use, payroll, franchise and ad valorem taxes. New tax laws and regulations and changes in existing tax laws and regulations are continuously being enacted that could result in increased tax expenditures in the future. Many of these tax liabilities are subject to audits by the respective taxing authority. These audits may result in additional taxes as well as interest and penalties.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Terrorism and Cyberterrorism</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Terrorist attacks and threats, escalation of military activity in response to these attacks or acts of war could have a material adverse effect on our business, financial condition or results of operations.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depend on the use of information technology (“IT”) systems that could be the target of a cyberattack.</w:t>
      </w:r>
    </w:p>
    <w:p>
      <w:pPr>
        <w:spacing w:after="0" w:line="11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oil and gas industry has become increasingly dependent on digital technologies to conduct day-to-day operations, including certain midstream activities. For example, software programs are used to manage gathering and transportation systems and for compliance reporting. The use of mobile communication devices has increased rapidly. Industrial control systems now control large scale processes that can include multiple sites and long distances, such as oil and gas pipelines.</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operations depend on the use of sophisticated IT systems. Our IT systems and networks, as well as those of our customers, vendors and counterparties, may become the target of cyber-attacks or information security breaches, which in turn could result in the unauthorized release and misuse of sensitive or proprietary information as well as disrupt our operations, damage our reputation or damage our facilities or those of third parties, which could have a material adverse effect on our revenues and increase our operating and capital costs, which could reduce the amount of cash otherwise available for distribution. In addition, certain cyber-incidents, such as surveillance, may remain undetected for an extended period. We may be required to incur additional costs to modify or enhance our IT systems or to prevent or remediate any such attacks.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cyber-incident involving our IT systems and related infrastructure, or that of our customers, venders and counterparties, could disrupt our business plans and negatively impact our operations in the following ways, among others:</w:t>
      </w:r>
    </w:p>
    <w:p>
      <w:pPr>
        <w:spacing w:after="0" w:line="62" w:lineRule="exact"/>
        <w:rPr>
          <w:sz w:val="20"/>
          <w:szCs w:val="20"/>
          <w:color w:val="auto"/>
        </w:rPr>
      </w:pPr>
    </w:p>
    <w:p>
      <w:pPr>
        <w:ind w:left="800" w:right="40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cyber-attack on a vendor or service provider could result in supply chain disruptions, which could delay or halt development of additional infrastructure, effectively delaying the start of cash flows from the project;</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cyber-attack on downstream pipelines could prevent us from delivering product at the tailgate of our facilities, resulting in a loss of revenues;</w:t>
      </w:r>
    </w:p>
    <w:p>
      <w:pPr>
        <w:spacing w:after="0" w:line="140" w:lineRule="exact"/>
        <w:rPr>
          <w:rFonts w:ascii="Arial" w:cs="Arial" w:eastAsia="Arial" w:hAnsi="Arial"/>
          <w:sz w:val="16"/>
          <w:szCs w:val="16"/>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cyber-attack on a communications network or power grid could cause operational disruption, resulting in loss of revenues;</w:t>
      </w:r>
    </w:p>
    <w:p>
      <w:pPr>
        <w:spacing w:after="0" w:line="117"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deliberate corruption of our financial or operational data could result in events of non-compliance, which could lead to regulatory fines or penalties; and</w:t>
      </w:r>
    </w:p>
    <w:p>
      <w:pPr>
        <w:spacing w:after="0" w:line="62"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interruptions could result in expensive remediation efforts, distraction of management, damage to our reputation or a negative impact on the price of our units.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description of our properties is included in Item 1. Business, and is incorporated herein by reference. For additional information on our midstream assets and their capacities, see Item 1.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exception of certain ordinary course encumbrances and permits with governmental entities that have been applied for, but not yet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lease various office space under leases to support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 contemplated to be brought against us, under the various environmental protection statutes to which we are subject, except as noted below.</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Beginning in 2015, the U.S. Department of Justice (“DOJ”) issued grand jury subpoenas to Summit Investments, the Partnership, our General Partner and Meadowlark Midstream requesting certain materials related to an incident involving a produced water disposal pipeline owned by Meadowlark Midstream that resulted in a discharge of materials into the environment (“Meadowlark Rupture”). On June 19, 2015, Meadowlark Midstream and Summit Investments received a complaint from the North Dakota Industrial Commission seeking approximately $2.5 million in fines and other fees related to the incident. This matter is also under investigation by the U.S. Environmental Protection Agency, the North Dakota Office of the Attorney General, the North Dakota Department of Environmental Quality, and the North Dakota Game and Fish Department. The government’s investigation is still ongoing. During this time, the Partnership has entered into tolling agreements with both the DOJ and the North Dakota attorney general, which were most recently extended to May 7, 2021. There can be no assurance that these tolling agreements will be extended. Discussions with the DOJ and other agencies regarding a resolution of this matter are ongoing. Liability for this incident could arise under civil and misdemeanor and felony criminal statutes, including under the Clean Water Act. In accordance with GAAP, the Partnership has accrued a $17.0 million loss contingency for this matter as of December 31, 2020. While the Partnership believes a loss for claims and/or actions arising from the Meadowlark Rupture, whether in a negotiated settlement or as a result of litigation, is probable, due to the complexity of resolving the numerous issues surrounding this matter, at this time we cannot reasonably predict whether any actual loss, if incurred, would be materially higher or lower than the accrued amount.</w:t>
      </w:r>
    </w:p>
    <w:p>
      <w:pPr>
        <w:spacing w:after="0" w:line="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additional matters are disclosed pursuant to requirements of Item 103 of the SEC’s Regulation S-K. We do not currently believe that the eventual outcome of such matters could have a material adverse effect on our business, financial condition, results of operations or cash flows. A petition was filed in the District Court of Arapahoe County, Colorado, by Samuel Engineering, Inc. against Meadowlark Midstream and Summit Niobrara. The matter was later transferred to the District Court of Denver County, Colorado, where it is currently pending. The plaintiff was a contractor hired to perform engineering, procurement, and construction services for Summit Niobrara’s gas processing plant located in Weld County, Colorado. The plaintiff is seeking damages for alleged non-payment for such services. Separately, a demand for arbitration was filed in Houston, Texas by Moore Control Systems, Inc. against Summit Permian. The claimant in that matter was a contractor hired to perform engineering, procurement, and construction services for Summit Permian’s gas processing plant located in Eddy County, New Mexico. The claimant is seeking damages for alleged non-payment for such services.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previously disclosed a legal proceeding initiated in the District Court of Tarrant County, Texas by Sage Natural Resources, LLC against us and certain of our affiliates. That legal proceeding was terminated by the court’s dismissal of the lawsuit with prejudice.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limited partner common units, ticker symbol “SMLP,” trade on the NYSE. As of December 31, 2020, there were approximately 8,489 common unitholders, including beneficial owners of common units held in street name.</w:t>
      </w:r>
    </w:p>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January 29, 2020, the Board of Directors declared a distribution of $0.125 per unit (an amount before giving effect to the Reverse Unit Split) for the quarterly period ended December 31, 2019. The distribution, which totaled $11.7 million, was paid on February 14, 2020, prior to the GP Buy-In Transaction, to unitholders of record at the close of business on February 7, 2020. In May 2020, the Partnership suspended distributions to holders of its common units and its Series A Preferred Units, commencing with respect to the quarter ending March 31, 2020. We did not make a distribution on our common units with respect to any quarter in 2020, nor did we make a distribution on our Series A Preferred Units on June 15, 2020 or December 15,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Suspension of Distributions</w:t>
      </w:r>
      <w:r>
        <w:rPr>
          <w:rFonts w:ascii="Arial" w:cs="Arial" w:eastAsia="Arial" w:hAnsi="Arial"/>
          <w:sz w:val="18"/>
          <w:szCs w:val="18"/>
          <w:color w:val="auto"/>
        </w:rPr>
        <w:t>. In May 2020, the Partnership suspended distributions to holders of its common units and suspended payments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holders of its Series A Preferred Units, commencing with respect to the quarter ending March 31, 2020. Because our Series A Preferred Units rank senior to our common units with respect to distribution rights, any accrued amounts on our Series A Preferred Units must first be paid prior to our resumption of distributions to our common unitholders. As of December 31, 2020, the amount of accrued and unpaid distributions on the Series A Preferred Units totaled $15.8 million. At this time, the Partnership is unable to forecast when it will resume distributions to holders of its common units and Series A Preferred Units.</w:t>
      </w:r>
    </w:p>
    <w:p>
      <w:pPr>
        <w:spacing w:after="0" w:line="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Our Cash Distribution Policy. </w:t>
      </w:r>
      <w:r>
        <w:rPr>
          <w:rFonts w:ascii="Arial" w:cs="Arial" w:eastAsia="Arial" w:hAnsi="Arial"/>
          <w:sz w:val="16"/>
          <w:szCs w:val="16"/>
          <w:color w:val="auto"/>
        </w:rPr>
        <w:t>Our Partnership Agreement requires us to distribute all of our available cash quarterly, subject to reserves established by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Partner. Generally, our available cash is our (i) cash on hand at the end of a quarter after the payment of our expenses and the establishment of cash reserves and (ii) cash on hand resulting from working capital borrowings made after the end of the quarter. Because we are not subject to an entity-level federal income tax, we have more cash to distribute to our unitholders than would be the case were we subject to federal income tax.</w:t>
      </w:r>
    </w:p>
    <w:p>
      <w:pPr>
        <w:spacing w:after="0" w:line="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Upon a resumption of the Partnership’s distributions, we will pay our distributions on or about the 15th of each of February, May, August and November to holders of record on or about seven days prior to such distribution date. We make the distribution on the business day immediately preceding the indicated distribution date if the distribution date falls on a holiday or non-business day.</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of Directors plans on making decisions with respect to payment of distributions on the common units and Series A Preferred Units on a semi-annual or quarterly basis, as applicable, based on the required payment date. We may not pay distributions on the common units or Series A Preferred Units in the foreseeable future, and there are restrictions on our ability to pay distributions under our outstanding indebtedness that restrict our ability to pay cash distributions on any of our equity securities.</w:t>
      </w:r>
    </w:p>
    <w:p>
      <w:pPr>
        <w:spacing w:after="0" w:line="79"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b w:val="1"/>
          <w:bCs w:val="1"/>
          <w:i w:val="1"/>
          <w:iCs w:val="1"/>
          <w:color w:val="auto"/>
        </w:rPr>
        <w:t xml:space="preserve">Limitations on Cash Distributions and Our Ability to Change Our Cash Distribution Policy. </w:t>
      </w:r>
      <w:r>
        <w:rPr>
          <w:rFonts w:ascii="Arial" w:cs="Arial" w:eastAsia="Arial" w:hAnsi="Arial"/>
          <w:sz w:val="16"/>
          <w:szCs w:val="16"/>
          <w:color w:val="auto"/>
        </w:rPr>
        <w:t>There is no guarantee that our unitholders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quarterly distributions from us. We do not have a legal obligation to pay any distribution except to the extent we have available cash as defined in our Partnership Agreement. Our cash distribution policy may be changed at any time and is subject to certain restrictions, including the following:</w:t>
      </w:r>
    </w:p>
    <w:p>
      <w:pPr>
        <w:spacing w:after="0" w:line="41" w:lineRule="exact"/>
        <w:rPr>
          <w:sz w:val="20"/>
          <w:szCs w:val="20"/>
          <w:color w:val="auto"/>
        </w:rPr>
      </w:pPr>
    </w:p>
    <w:p>
      <w:pPr>
        <w:ind w:left="800" w:hanging="401"/>
        <w:spacing w:after="0" w:line="263"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on distributions under our Revolving Credit Facility. Our Revolving Credit Facility contains financial tests and covenants that we must satisfy. Should we be unable to satisfy these restrictions, we may be prohibited from making cash distributions notwithstanding our stated cash distribution policy.</w:t>
      </w:r>
    </w:p>
    <w:p>
      <w:pPr>
        <w:spacing w:after="0" w:line="75" w:lineRule="exact"/>
        <w:rPr>
          <w:rFonts w:ascii="Arial" w:cs="Arial" w:eastAsia="Arial" w:hAnsi="Arial"/>
          <w:sz w:val="18"/>
          <w:szCs w:val="18"/>
          <w:color w:val="auto"/>
        </w:rPr>
      </w:pPr>
    </w:p>
    <w:p>
      <w:pPr>
        <w:ind w:left="800" w:right="220" w:hanging="401"/>
        <w:spacing w:after="0" w:line="263"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on distributions under our Series A Preferred Units. Our Series A Preferred Units contain covenants that we must satisfy. Should we be unable to satisfy these restrictions, we may be prohibited from making cash distributions notwithstanding our stated cash distribution policy.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120" w:hanging="401"/>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spacing w:after="0" w:line="78" w:lineRule="exact"/>
        <w:rPr>
          <w:rFonts w:ascii="Arial" w:cs="Arial" w:eastAsia="Arial" w:hAnsi="Arial"/>
          <w:sz w:val="18"/>
          <w:szCs w:val="18"/>
          <w:color w:val="auto"/>
        </w:rPr>
      </w:pPr>
    </w:p>
    <w:p>
      <w:pPr>
        <w:ind w:left="800" w:right="120" w:hanging="401"/>
        <w:spacing w:after="0" w:line="263"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the provisions requiring us to distribute all of our available cash, may be amended. We can amend our Partnership Agreement with the consent of our General Partner and the approval of a majority of the outstanding common units.</w:t>
      </w:r>
    </w:p>
    <w:p>
      <w:pPr>
        <w:spacing w:after="0" w:line="75" w:lineRule="exact"/>
        <w:rPr>
          <w:rFonts w:ascii="Arial" w:cs="Arial" w:eastAsia="Arial" w:hAnsi="Arial"/>
          <w:sz w:val="18"/>
          <w:szCs w:val="18"/>
          <w:color w:val="auto"/>
        </w:rPr>
      </w:pPr>
    </w:p>
    <w:p>
      <w:pPr>
        <w:ind w:left="800" w:right="300" w:hanging="401"/>
        <w:spacing w:after="0" w:line="342" w:lineRule="auto"/>
        <w:tabs>
          <w:tab w:leader="none" w:pos="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15" w:lineRule="exact"/>
        <w:rPr>
          <w:rFonts w:ascii="Arial" w:cs="Arial" w:eastAsia="Arial" w:hAnsi="Arial"/>
          <w:sz w:val="16"/>
          <w:szCs w:val="16"/>
          <w:color w:val="auto"/>
        </w:rPr>
      </w:pPr>
    </w:p>
    <w:p>
      <w:pPr>
        <w:ind w:left="800" w:hanging="401"/>
        <w:spacing w:after="0"/>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Delaware law, we may not make a distribution if the distribution would cause our liabilities to exceed the fair value of our assets.</w:t>
      </w:r>
    </w:p>
    <w:p>
      <w:pPr>
        <w:spacing w:after="0" w:line="128" w:lineRule="exact"/>
        <w:rPr>
          <w:rFonts w:ascii="Arial" w:cs="Arial" w:eastAsia="Arial" w:hAnsi="Arial"/>
          <w:sz w:val="17"/>
          <w:szCs w:val="17"/>
          <w:color w:val="auto"/>
        </w:rPr>
      </w:pPr>
    </w:p>
    <w:p>
      <w:pPr>
        <w:ind w:left="800" w:right="100" w:hanging="401"/>
        <w:spacing w:after="0" w:line="301" w:lineRule="auto"/>
        <w:tabs>
          <w:tab w:leader="none" w:pos="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spacing w:after="0" w:line="49" w:lineRule="exact"/>
        <w:rPr>
          <w:rFonts w:ascii="Arial" w:cs="Arial" w:eastAsia="Arial" w:hAnsi="Arial"/>
          <w:sz w:val="16"/>
          <w:szCs w:val="16"/>
          <w:color w:val="auto"/>
        </w:rPr>
      </w:pPr>
    </w:p>
    <w:p>
      <w:pPr>
        <w:ind w:left="800" w:right="340" w:hanging="401"/>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to the extent our cash available for distribution materially declines, we may elect to reduce our quarterly distribution rate to service or repay our debt or fund expansion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November 2017, we issued 300,000 Series A Preferred Units at a price to the public of $1,000. During the year ended December 31, 2020, we exchanged 62,816 Series A Preferred Units for 837,547 SMLP common units and completed a cash tender offer whereby we tendered 75,075 Series A Preferred Units for $25.0 million in cash. As of December 31, 2020, we have 162,109 Series A Preferred Units outstanding.</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May 2020, the Partnership suspended payments of distributions to holders of its Series A Preferred Units, and we did not make a distribution on our Series A Preferred Units on June 15, 2020 or December 15, 2020.</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4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 See Note 13 to the consolidated financial statements for additional details.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Subsidiary Series A Preferred Units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December 2019 and during the year ended December 31, 2020, Permian Holdco issued 30,000 and 55,251 Subsidiary Series A Preferred Units, respectively, representing limited partner interests in Permian Holdco at a price of $1,000 per unit. Permian Holdco used the net proceeds of $48.7 million and $27.4 million, respectively, (after deducting offering expenses) to fund capital calls associated with the Double E Project.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 applicable Subsidiary Series A Preferred Distribution Payment Date, in each case, when, as, and if declared by the board of directors of Permian Holdco out of legally available funds for such purpose.</w:t>
      </w:r>
    </w:p>
    <w:p>
      <w:pPr>
        <w:spacing w:after="0" w:line="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distribution rate is 7.00% per annum of the $1,000 issue amount per outstanding Permian Holdco Subsidiary Series A Preferred Unit. Permian Holdco has the option to pay this distribution in-kind until the earlier of June 30, 2022 or the first full quarter following the date the Double E pipeline is placed in service. See Note 13 to the consolidated financial statements for additional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July 2020, the Partnership completed the Preferred Exchange Offer. The Preferred Exchange Offer expired on July 28, 2020, and on July 31, 2020, the Partnership issued 837,547 SMLP common units in exchange for 62,816 Series A Preferred Units. Upon closing the Preferred Exchange Offer, we eliminated $66.5 million of the Series A Preferred Unit liquidation preference amount, inclusive of accrued distributions due as of the settlement date. The Partnership did not receive any cash proceeds from the Preferred Exchange Offer.</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Partnership relied on Section 3(a)(9) of the Securities Act to exempt the Preferred Exchange Offer from the registration requirements of the Securities Act. Section 3(a)(9) offers exemptions from the registration requirements of the Securities Act for exchange offers in which (i) the issuer of the securities offered is the same as the issuer of the securities being surrendered, (ii) the holders are not being asked to surrender anything of value other than the outstanding securities, (iii) the exchange offer is made exclusively to existing holders of the issuer’s outstanding securities, and (iv) the issuer does not pay any commission or remuneration for solicitation of the exchange. Because the Partnership offered only its own common units exclusively to the holders of and in exchange for its outstanding Series A Preferred Units, and because it neither paid nor received anything of value other than the subject securities, the Partnership was able to rely on the exemption afforded by Section 3(a)(9) of the Securities 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May 2020, the Partnership closed the GP Buy-In Transaction whereby the Partnership acquired from its then private equity sponsor, ECP, (i) Summit Investments, which owned the Partnership’s General Partner, and (ii) through its indirect ownership of SMP Holdings, 3,415,646 of its common units. Consideration paid to ECP included a $35.0 million cash payment and warrants to purchase up to 666,667 common units.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relating to SMLP’s equity compensation plans required by Item 5 is included in Item 12. Security Ownership of Certain Beneficial Owners and Management and Related Stockholder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MD&amp;A is intended to inform the reader about matters affecting the financial condition and results of operations of the Partnership and its subsidiaries. As a result, the following discussion for the year ended December 31, 2020 should be read in conjunction with the consolidated financial statements and notes thereto included in this Annual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 The discussion of our financial condition and results of operations for the years ended December 31, 2019 and December 31, 2018 included in Exhibit 99.2, </w:t>
      </w:r>
      <w:r>
        <w:rPr>
          <w:rFonts w:ascii="Arial" w:cs="Arial" w:eastAsia="Arial" w:hAnsi="Arial"/>
          <w:sz w:val="16"/>
          <w:szCs w:val="16"/>
          <w:i w:val="1"/>
          <w:iCs w:val="1"/>
          <w:color w:val="auto"/>
        </w:rPr>
        <w:t>Updated 2019 Annual Report on Form 10-K</w:t>
      </w:r>
    </w:p>
    <w:p>
      <w:pPr>
        <w:spacing w:after="0" w:line="2" w:lineRule="exact"/>
        <w:rPr>
          <w:sz w:val="20"/>
          <w:szCs w:val="20"/>
          <w:color w:val="auto"/>
        </w:rPr>
      </w:pPr>
    </w:p>
    <w:p>
      <w:pPr>
        <w:ind w:right="60" w:firstLine="8"/>
        <w:spacing w:after="0" w:line="260" w:lineRule="auto"/>
        <w:tabs>
          <w:tab w:leader="none" w:pos="10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of our Form 8-K dated August 7, 2020,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into this MD&amp;A.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classify our midstream energy infrastructure assets into two categories, our Core Focus Areas and our Legacy Areas. Further details on our Focus Areas and Legacy Areas are summarized below.</w:t>
      </w:r>
    </w:p>
    <w:p>
      <w:pPr>
        <w:spacing w:after="0" w:line="62" w:lineRule="exact"/>
        <w:rPr>
          <w:sz w:val="20"/>
          <w:szCs w:val="20"/>
          <w:color w:val="auto"/>
        </w:rPr>
      </w:pPr>
    </w:p>
    <w:p>
      <w:pPr>
        <w:ind w:left="800" w:right="80" w:hanging="401"/>
        <w:spacing w:after="0" w:line="301"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Core Focus Areas. </w:t>
      </w:r>
      <w:r>
        <w:rPr>
          <w:rFonts w:ascii="Arial" w:cs="Arial" w:eastAsia="Arial" w:hAnsi="Arial"/>
          <w:sz w:val="16"/>
          <w:szCs w:val="16"/>
          <w:color w:val="auto"/>
        </w:rPr>
        <w:t>Core producing areas of basins in which we expect our gathering systems to experience greater long-term growth,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157" w:lineRule="exact"/>
        <w:rPr>
          <w:rFonts w:ascii="Arial" w:cs="Arial" w:eastAsia="Arial" w:hAnsi="Arial"/>
          <w:sz w:val="16"/>
          <w:szCs w:val="16"/>
          <w:color w:val="auto"/>
        </w:rPr>
      </w:pPr>
    </w:p>
    <w:p>
      <w:pPr>
        <w:ind w:left="800" w:hanging="401"/>
        <w:spacing w:after="0" w:line="273"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Legacy Areas. </w:t>
      </w:r>
      <w:r>
        <w:rPr>
          <w:rFonts w:ascii="Arial" w:cs="Arial" w:eastAsia="Arial" w:hAnsi="Arial"/>
          <w:sz w:val="17"/>
          <w:szCs w:val="17"/>
          <w:color w:val="auto"/>
        </w:rPr>
        <w:t>Production basins in which we expect volume throughput on our gathering systems to experience relatively lower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(as described below) comprise our Legacy Areas.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Williston Basin, Piceance Basin, and Permian Basin segments, (ii) the sale of natural gas we retain from certain Barnett Shale customers and (iii) the sale of condensate we retain from our gathering services in the Piceance Basin segment. During the year ended December 31, 2020, these additional activities accounted for approximately 13% of total revenues.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Years Ended December 31, 2020 and 2019” section herein.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Borders>
              <w:bottom w:val="single" w:sz="8" w:color="auto"/>
            </w:tcBorders>
          </w:tcPr>
          <w:p>
            <w:pPr>
              <w:spacing w:after="0"/>
              <w:rPr>
                <w:sz w:val="14"/>
                <w:szCs w:val="14"/>
                <w:color w:val="auto"/>
              </w:rPr>
            </w:pPr>
          </w:p>
        </w:tc>
      </w:tr>
      <w:tr>
        <w:trPr>
          <w:trHeight w:val="156"/>
        </w:trPr>
        <w:tc>
          <w:tcPr>
            <w:tcW w:w="5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6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189,078</w:t>
            </w:r>
          </w:p>
        </w:tc>
        <w:tc>
          <w:tcPr>
            <w:tcW w:w="7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(393,726)</w:t>
            </w:r>
          </w:p>
        </w:tc>
      </w:tr>
      <w:tr>
        <w:trPr>
          <w:trHeight w:val="229"/>
        </w:trPr>
        <w:tc>
          <w:tcPr>
            <w:tcW w:w="594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246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32,783</w:t>
            </w:r>
          </w:p>
        </w:tc>
        <w:tc>
          <w:tcPr>
            <w:tcW w:w="7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29,292</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31,056</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39,126</w:t>
            </w: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52,060</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69,437</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DJ Basin</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19,449</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18,668</w:t>
            </w:r>
          </w:p>
        </w:tc>
      </w:tr>
      <w:tr>
        <w:trPr>
          <w:trHeight w:val="229"/>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4,426</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88,820</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98,765</w:t>
            </w: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32,093</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43,043</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22,015</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20,051</w:t>
            </w:r>
          </w:p>
        </w:tc>
      </w:tr>
      <w:tr>
        <w:trPr>
          <w:trHeight w:val="230"/>
        </w:trPr>
        <w:tc>
          <w:tcPr>
            <w:tcW w:w="59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198,589</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161,741</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(1)</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43,128</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182,291</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Investment in Double E equity method investee</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99,927</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18,316</w:t>
            </w:r>
          </w:p>
        </w:tc>
      </w:tr>
      <w:tr>
        <w:trPr>
          <w:trHeight w:val="229"/>
        </w:trPr>
        <w:tc>
          <w:tcPr>
            <w:tcW w:w="59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Net cash distributions to noncontrolling interest</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SMLP unitholders</w:t>
            </w:r>
          </w:p>
        </w:tc>
        <w:tc>
          <w:tcPr>
            <w:tcW w:w="24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6,037</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68,874</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Unit distributions</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28,500</w:t>
            </w: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Net borrowings under Revolving</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Credit Facility</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180,000</w:t>
            </w:r>
          </w:p>
        </w:tc>
        <w:tc>
          <w:tcPr>
            <w:tcW w:w="7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211,000</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SMPH term loan</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(6,300)</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(65,250)</w:t>
            </w: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Open Market Repurchases of 2022 and</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2025 Senior Notes (Note 9)</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5"/>
              </w:rPr>
              <w:t>(145,567)</w:t>
            </w:r>
          </w:p>
        </w:tc>
        <w:tc>
          <w:tcPr>
            <w:tcW w:w="7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Tender Offers of 2022 and 2025 Senior Notes (Note 9)</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(47,530)</w:t>
            </w: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TL Restructuring (Note 9)</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(26,500)</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Subsidiary Series A preferred units,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issuance costs</w:t>
            </w:r>
          </w:p>
        </w:tc>
        <w:tc>
          <w:tcPr>
            <w:tcW w:w="14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48,710</w:t>
            </w:r>
          </w:p>
        </w:tc>
        <w:tc>
          <w:tcPr>
            <w:tcW w:w="7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27,392</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Preferred Tender (Note 9)</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7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Purchase of common units in GP Buy-In</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Transaction</w:t>
            </w:r>
          </w:p>
        </w:tc>
        <w:tc>
          <w:tcPr>
            <w:tcW w:w="14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(41,778)</w:t>
            </w:r>
          </w:p>
        </w:tc>
        <w:tc>
          <w:tcPr>
            <w:tcW w:w="7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1"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See "Liquidity and Capital Resources" herein and Note 20 to the consolidated financial statements for additional information on capital expenditures.</w:t>
      </w:r>
    </w:p>
    <w:p>
      <w:pPr>
        <w:spacing w:after="0" w:line="200" w:lineRule="exact"/>
        <w:rPr>
          <w:rFonts w:ascii="Arial" w:cs="Arial" w:eastAsia="Arial" w:hAnsi="Arial"/>
          <w:sz w:val="23"/>
          <w:szCs w:val="23"/>
          <w:color w:val="auto"/>
          <w:vertAlign w:val="superscript"/>
        </w:rPr>
      </w:pPr>
    </w:p>
    <w:p>
      <w:pPr>
        <w:spacing w:after="0" w:line="21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Key Matters for the Year ended December 31, 2020. </w:t>
      </w:r>
      <w:r>
        <w:rPr>
          <w:rFonts w:ascii="Arial" w:cs="Arial" w:eastAsia="Arial" w:hAnsi="Arial"/>
          <w:sz w:val="16"/>
          <w:szCs w:val="16"/>
          <w:color w:val="auto"/>
        </w:rPr>
        <w:t>The following items are reflected in our financial results for the fiscal year ended December 31, 2020:</w:t>
      </w:r>
    </w:p>
    <w:p>
      <w:pPr>
        <w:spacing w:after="0" w:line="140" w:lineRule="exact"/>
        <w:rPr>
          <w:sz w:val="20"/>
          <w:szCs w:val="20"/>
          <w:color w:val="auto"/>
        </w:rPr>
      </w:pPr>
    </w:p>
    <w:p>
      <w:pPr>
        <w:ind w:left="800" w:right="20" w:hanging="401"/>
        <w:spacing w:after="0" w:line="284"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GP Buy-In Transaction. </w:t>
      </w:r>
      <w:r>
        <w:rPr>
          <w:rFonts w:ascii="Arial" w:cs="Arial" w:eastAsia="Arial" w:hAnsi="Arial"/>
          <w:sz w:val="16"/>
          <w:szCs w:val="16"/>
          <w:color w:val="auto"/>
        </w:rPr>
        <w:t>In May 2020, the Partnership completed the GP Buy-In Transaction whereby the Partnership acquired from its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equity sponsor, ECP, (i) Summit Investments, which indirectly owned the Partnership’s General Partner, (ii) through its ownership of SMP Holdings, 3,415,646 of its common units and (iii) a deferred purchase price obligation receivable owed by the Partnership. Consideration paid to ECP included a $35.0 million cash payment and warrants to purchase up to 666,667 common units. In connection with the closing of the GP Buy-In Transaction, ECP’s management resigned from the Board of Directors and fully exited its investment in the Partnership (other than retaining the aforementioned warrants). Refer to Note 1 – Organization, Business Operations and Presentation and Consolidation for details.</w:t>
      </w:r>
    </w:p>
    <w:p>
      <w:pPr>
        <w:spacing w:after="0" w:line="4" w:lineRule="exact"/>
        <w:rPr>
          <w:rFonts w:ascii="Arial" w:cs="Arial" w:eastAsia="Arial" w:hAnsi="Arial"/>
          <w:sz w:val="16"/>
          <w:szCs w:val="16"/>
          <w:color w:val="auto"/>
        </w:rPr>
      </w:pPr>
    </w:p>
    <w:p>
      <w:pPr>
        <w:ind w:left="800" w:right="160" w:hanging="401"/>
        <w:spacing w:after="0" w:line="265"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Suspension of common and preferred unit distributions</w:t>
      </w:r>
      <w:r>
        <w:rPr>
          <w:rFonts w:ascii="Arial" w:cs="Arial" w:eastAsia="Arial" w:hAnsi="Arial"/>
          <w:sz w:val="17"/>
          <w:szCs w:val="17"/>
          <w:color w:val="auto"/>
        </w:rPr>
        <w:t>. In May 2020, and in conjunction with the GP Buy-In Transaction, the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suspended distributions to holders of its common units and its Series A Preferred Units, commencing with respect to the quarter ending March 31, 2020. The suspension of distributions enabled the Partnership to retain an incremental $76 million per annum of operating cash flow and reallocate this retained cash to indebtedness reduction, liability management transactions and other corporate initiatives. The unpaid cash distributions on the Series A Preferred Units continue to accrue semi-annually, until paid.</w:t>
      </w:r>
    </w:p>
    <w:p>
      <w:pPr>
        <w:ind w:left="800" w:hanging="401"/>
        <w:spacing w:after="0" w:line="281"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July 2020 Series A Preferred Unit Exchange. </w:t>
      </w:r>
      <w:r>
        <w:rPr>
          <w:rFonts w:ascii="Arial" w:cs="Arial" w:eastAsia="Arial" w:hAnsi="Arial"/>
          <w:sz w:val="16"/>
          <w:szCs w:val="16"/>
          <w:color w:val="auto"/>
        </w:rPr>
        <w:t>In July 2020, the Partnership completed the Preferred Exchange Offer, whereby it issued 837,547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SMLP common units in exchange for 62,816 Series A Preferred Units. Upon closing the Preferred Exchange Offer, it eliminated $66.5 million of the Series A Preferred Unit liquidation preference amount, inclusive of $3.7 million of accrued distributions due as of the settlement date.</w:t>
      </w:r>
    </w:p>
    <w:p>
      <w:pPr>
        <w:spacing w:after="0" w:line="1" w:lineRule="exact"/>
        <w:rPr>
          <w:rFonts w:ascii="Arial" w:cs="Arial" w:eastAsia="Arial" w:hAnsi="Arial"/>
          <w:sz w:val="16"/>
          <w:szCs w:val="16"/>
          <w:color w:val="auto"/>
        </w:rPr>
      </w:pPr>
    </w:p>
    <w:p>
      <w:pPr>
        <w:ind w:left="800" w:right="220" w:hanging="401"/>
        <w:spacing w:after="0" w:line="250"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Open Market Repurchase of Senior Notes. </w:t>
      </w:r>
      <w:r>
        <w:rPr>
          <w:rFonts w:ascii="Arial" w:cs="Arial" w:eastAsia="Arial" w:hAnsi="Arial"/>
          <w:sz w:val="18"/>
          <w:szCs w:val="18"/>
          <w:color w:val="auto"/>
        </w:rPr>
        <w:t>Throughout 2020, the Partnership completed its Open Market Repurchases, which resulted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$32.4 million of face value of the 2022 Senior Notes and $201.8 million of face value of the 2025 Senior Notes. Total cash consideration paid to repurchase the principal amounts outstanding of the 2022 Senior Notes and 2025 Senior Notes, plus accrued interest totaled $150.3 million and the Partnership recognized a $86.4 million gain on the extinguishment of debt related to these Open Market Repurchases during 2020.</w:t>
      </w:r>
    </w:p>
    <w:p>
      <w:pPr>
        <w:spacing w:after="0" w:line="1" w:lineRule="exact"/>
        <w:rPr>
          <w:rFonts w:ascii="Arial" w:cs="Arial" w:eastAsia="Arial" w:hAnsi="Arial"/>
          <w:sz w:val="18"/>
          <w:szCs w:val="18"/>
          <w:color w:val="auto"/>
        </w:rPr>
      </w:pPr>
    </w:p>
    <w:p>
      <w:pPr>
        <w:ind w:left="800" w:right="40" w:hanging="401"/>
        <w:spacing w:after="0" w:line="265"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Debt Tender Offers. </w:t>
      </w:r>
      <w:r>
        <w:rPr>
          <w:rFonts w:ascii="Arial" w:cs="Arial" w:eastAsia="Arial" w:hAnsi="Arial"/>
          <w:sz w:val="17"/>
          <w:szCs w:val="17"/>
          <w:color w:val="auto"/>
        </w:rPr>
        <w:t>In September 2020, the Co-Issuers completed the Debt Tender Offers to purchase a portion of their 2022 Senior Notes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2025 Senior Notes. Upon completion of the Debt Tender Offers, the Co-Issuers repurchased $33.5 million principal amount of the 2022 Senior Notes and $38.7 million principal amount of the 2025 Senior Notes. Total cash consideration paid to repurchase the principal amounts outstanding of the 2022 and 2025 Senior Notes, plus accrued interest, totaled $48.7 million, and the Partnership recognized a $23.3 million gain on the extinguishment of debt related to the Debt Tender Offers during 2020.</w:t>
      </w:r>
    </w:p>
    <w:p>
      <w:pPr>
        <w:ind w:left="800" w:right="100" w:hanging="401"/>
        <w:spacing w:after="0" w:line="250"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TL Restructuring. </w:t>
      </w:r>
      <w:r>
        <w:rPr>
          <w:rFonts w:ascii="Arial" w:cs="Arial" w:eastAsia="Arial" w:hAnsi="Arial"/>
          <w:sz w:val="18"/>
          <w:szCs w:val="18"/>
          <w:color w:val="auto"/>
        </w:rPr>
        <w:t>In November 2020, the Partnership completed the TL Restructuring. All of the Term Loan Lenders participated in the 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Restructuring. As part of the TL Restructuring, the Partnership paid SMP Holdings $26.5 million in cash as consideration to fully settle the deferred purchase price obligation, which SMP Holdings then paid to the Term Loan Lenders. In addition, the Term Loan Lenders executed the Strict Foreclosure on the 2,306,972 common units pledged as collateral under the SMPH Term Loan in full satisfaction of SMP Holdings’ outstanding obligations under the SMPH Term Loan.</w:t>
      </w:r>
    </w:p>
    <w:p>
      <w:pPr>
        <w:spacing w:after="0" w:line="1" w:lineRule="exact"/>
        <w:rPr>
          <w:rFonts w:ascii="Arial" w:cs="Arial" w:eastAsia="Arial" w:hAnsi="Arial"/>
          <w:sz w:val="18"/>
          <w:szCs w:val="18"/>
          <w:color w:val="auto"/>
        </w:rPr>
      </w:pPr>
    </w:p>
    <w:p>
      <w:pPr>
        <w:ind w:left="800" w:right="100" w:hanging="401"/>
        <w:spacing w:after="0" w:line="250"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December 2020 Series A Preferred Unit Tender. </w:t>
      </w:r>
      <w:r>
        <w:rPr>
          <w:rFonts w:ascii="Arial" w:cs="Arial" w:eastAsia="Arial" w:hAnsi="Arial"/>
          <w:sz w:val="18"/>
          <w:szCs w:val="18"/>
          <w:color w:val="auto"/>
        </w:rPr>
        <w:t>On December 29, 2020, the Partnership completed the Preferred Tender Offer, whereby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75,075 Series A Preferred Units for a purchase price of $333.00 per Series A Preferred Unit and an aggregate purchase price of $25.0 million. Upon closing the Preferred Tender Offer, it eliminated $82.7 million of the Series A Preferred Unit liquidation preference due as of the settlement date, inclusive of $7.6 million of accrued distributions.</w:t>
      </w:r>
    </w:p>
    <w:p>
      <w:pPr>
        <w:spacing w:after="0" w:line="1" w:lineRule="exact"/>
        <w:rPr>
          <w:rFonts w:ascii="Arial" w:cs="Arial" w:eastAsia="Arial" w:hAnsi="Arial"/>
          <w:sz w:val="18"/>
          <w:szCs w:val="18"/>
          <w:color w:val="auto"/>
        </w:rPr>
      </w:pPr>
    </w:p>
    <w:p>
      <w:pPr>
        <w:ind w:left="800" w:right="100" w:hanging="401"/>
        <w:spacing w:after="0" w:line="250"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 E Project. </w:t>
      </w:r>
      <w:r>
        <w:rPr>
          <w:rFonts w:ascii="Arial" w:cs="Arial" w:eastAsia="Arial" w:hAnsi="Arial"/>
          <w:sz w:val="18"/>
          <w:szCs w:val="18"/>
          <w:color w:val="auto"/>
        </w:rPr>
        <w:t>For the year ended December 2020, the Partnership’s proportionate share of capital calls due in 2020 totaled $99.9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includes $2.7 million in capitalized interest, and was funded with $20.6 million of Partnership generated funds and the issuance of $85.3 million of Subsidiary Series A Preferred Units.</w:t>
      </w:r>
    </w:p>
    <w:p>
      <w:pPr>
        <w:spacing w:after="0" w:line="1" w:lineRule="exact"/>
        <w:rPr>
          <w:rFonts w:ascii="Arial" w:cs="Arial" w:eastAsia="Arial" w:hAnsi="Arial"/>
          <w:sz w:val="18"/>
          <w:szCs w:val="18"/>
          <w:color w:val="auto"/>
        </w:rPr>
      </w:pPr>
    </w:p>
    <w:p>
      <w:pPr>
        <w:ind w:left="800" w:right="40" w:hanging="401"/>
        <w:spacing w:after="0" w:line="253"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2020 Restructuring Costs. </w:t>
      </w:r>
      <w:r>
        <w:rPr>
          <w:rFonts w:ascii="Arial" w:cs="Arial" w:eastAsia="Arial" w:hAnsi="Arial"/>
          <w:sz w:val="18"/>
          <w:szCs w:val="18"/>
          <w:color w:val="auto"/>
        </w:rPr>
        <w:t>In the fourth quarter of 2020, we completed an internal initiative to evaluate and transform our cost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margins and improve our competitive position in response to COVID-19 and the related weakening of the economy. For the year ended December 31, 2020, we incurred approximately $5.6 million in restructuring costs relating to this initiative (included in general and administrative expense).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280" w:hanging="401"/>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2020 Impairments. </w:t>
      </w:r>
      <w:r>
        <w:rPr>
          <w:rFonts w:ascii="Arial" w:cs="Arial" w:eastAsia="Arial" w:hAnsi="Arial"/>
          <w:sz w:val="18"/>
          <w:szCs w:val="18"/>
          <w:color w:val="auto"/>
        </w:rPr>
        <w:t>In the fourth quarter of 2020, we recorded $8.6 million of impairments related to certain long-lived assets, of which $5.1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related to a January 2021 sale of compressor equipment for a total cash purchase price of $8.0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Key Matters for the Year ended December 31, 2019. </w:t>
      </w:r>
      <w:r>
        <w:rPr>
          <w:rFonts w:ascii="Arial" w:cs="Arial" w:eastAsia="Arial" w:hAnsi="Arial"/>
          <w:sz w:val="17"/>
          <w:szCs w:val="17"/>
          <w:color w:val="auto"/>
        </w:rPr>
        <w:t>The following items are reflected in our financial results for the fiscal year ended 2019:</w:t>
      </w:r>
    </w:p>
    <w:p>
      <w:pPr>
        <w:spacing w:after="0" w:line="129" w:lineRule="exact"/>
        <w:rPr>
          <w:sz w:val="20"/>
          <w:szCs w:val="20"/>
          <w:color w:val="auto"/>
        </w:rPr>
      </w:pPr>
    </w:p>
    <w:p>
      <w:pPr>
        <w:ind w:left="800" w:right="120" w:hanging="401"/>
        <w:spacing w:after="0" w:line="286"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Method Investment Impairment. </w:t>
      </w:r>
      <w:r>
        <w:rPr>
          <w:rFonts w:ascii="Arial" w:cs="Arial" w:eastAsia="Arial" w:hAnsi="Arial"/>
          <w:sz w:val="16"/>
          <w:szCs w:val="16"/>
          <w:color w:val="auto"/>
        </w:rPr>
        <w:t>In December 2019, we identified certain triggering events which indicated that our equity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in Ohio Gathering could be impaired. We completed an other-than-temporary impairment analysis to determine the potential equity method impairment charge to be recorded on our consolidated financial statements. As a result, an impairment charge of approximately $329.7 million was recorded in the loss from equity method investees caption on the consolidated statement of operations.</w:t>
      </w:r>
    </w:p>
    <w:p>
      <w:pPr>
        <w:spacing w:after="0" w:line="1" w:lineRule="exact"/>
        <w:rPr>
          <w:rFonts w:ascii="Arial" w:cs="Arial" w:eastAsia="Arial" w:hAnsi="Arial"/>
          <w:sz w:val="16"/>
          <w:szCs w:val="16"/>
          <w:color w:val="auto"/>
        </w:rPr>
      </w:pPr>
    </w:p>
    <w:p>
      <w:pPr>
        <w:ind w:left="800" w:right="400" w:hanging="401"/>
        <w:spacing w:after="0" w:line="281"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Goodwill Impairment. </w:t>
      </w:r>
      <w:r>
        <w:rPr>
          <w:rFonts w:ascii="Arial" w:cs="Arial" w:eastAsia="Arial" w:hAnsi="Arial"/>
          <w:sz w:val="16"/>
          <w:szCs w:val="16"/>
          <w:color w:val="auto"/>
        </w:rPr>
        <w:t>In September 2019, in connection with our annual impairment evaluation, we determined that the fair value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Mountaineer Midstream reporting unit did not exceed its carrying value and we recognized a goodwill impairment charge of $16.2 million.</w:t>
      </w:r>
    </w:p>
    <w:p>
      <w:pPr>
        <w:spacing w:after="0" w:line="1" w:lineRule="exact"/>
        <w:rPr>
          <w:rFonts w:ascii="Arial" w:cs="Arial" w:eastAsia="Arial" w:hAnsi="Arial"/>
          <w:sz w:val="16"/>
          <w:szCs w:val="16"/>
          <w:color w:val="auto"/>
        </w:rPr>
      </w:pPr>
    </w:p>
    <w:p>
      <w:pPr>
        <w:ind w:left="800" w:right="80" w:hanging="401"/>
        <w:spacing w:after="0" w:line="250"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Disposition. </w:t>
      </w:r>
      <w:r>
        <w:rPr>
          <w:rFonts w:ascii="Arial" w:cs="Arial" w:eastAsia="Arial" w:hAnsi="Arial"/>
          <w:sz w:val="18"/>
          <w:szCs w:val="18"/>
          <w:color w:val="auto"/>
        </w:rPr>
        <w:t>In March 2019, we identified certain triggering events which indicated that certain long-lived assets in the DJ Basin and Barnett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Shale reporting segments could be impaired. Consequently, we performed a recoverability assessment of certain assets within these reporting segments. In the DJ Basin, we determined certain processing plant assets related to our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and we recorded an impairment charge of $9.7 million related to these assets.</w:t>
      </w:r>
    </w:p>
    <w:p>
      <w:pPr>
        <w:spacing w:after="0" w:line="2" w:lineRule="exact"/>
        <w:rPr>
          <w:rFonts w:ascii="Arial" w:cs="Arial" w:eastAsia="Arial" w:hAnsi="Arial"/>
          <w:sz w:val="18"/>
          <w:szCs w:val="18"/>
          <w:color w:val="auto"/>
        </w:rPr>
      </w:pPr>
    </w:p>
    <w:p>
      <w:pPr>
        <w:ind w:left="800" w:right="240" w:hanging="401"/>
        <w:spacing w:after="0" w:line="250"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 E Project. </w:t>
      </w:r>
      <w:r>
        <w:rPr>
          <w:rFonts w:ascii="Arial" w:cs="Arial" w:eastAsia="Arial" w:hAnsi="Arial"/>
          <w:sz w:val="18"/>
          <w:szCs w:val="18"/>
          <w:color w:val="auto"/>
        </w:rPr>
        <w:t>In June 2019, we continued development of the Double E Project after securing firm 10-year commitments under binding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precedent agreements for a substantial majority of the pipeline’s initial throughput capacity of 1.35 Bcf of gas per day and executing the joint venture agreement (described below) with an affiliate of Double E’s foundation shipper. The Double E Project, which consists of an approximately 116-mile mainline and related facilities, will provide interstate natural gas transportation service from the Delaware Basin production area to the Waha Hub in Texas.</w:t>
      </w:r>
    </w:p>
    <w:p>
      <w:pPr>
        <w:spacing w:after="0" w:line="1" w:lineRule="exact"/>
        <w:rPr>
          <w:rFonts w:ascii="Arial" w:cs="Arial" w:eastAsia="Arial" w:hAnsi="Arial"/>
          <w:sz w:val="18"/>
          <w:szCs w:val="18"/>
          <w:color w:val="auto"/>
        </w:rPr>
      </w:pPr>
    </w:p>
    <w:p>
      <w:pPr>
        <w:ind w:left="800" w:right="120" w:hanging="401"/>
        <w:spacing w:after="0" w:line="250"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Summit Permian Transmission. </w:t>
      </w:r>
      <w:r>
        <w:rPr>
          <w:rFonts w:ascii="Arial" w:cs="Arial" w:eastAsia="Arial" w:hAnsi="Arial"/>
          <w:sz w:val="18"/>
          <w:szCs w:val="18"/>
          <w:color w:val="auto"/>
        </w:rPr>
        <w:t>In connection with the Double E Project, Summit Permian Transmission contributed total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$23.6 million for a 70% ownership interest in Double E. Concurrent with this contribution, Double E distributed $7.3 million to the Partnership.</w:t>
      </w:r>
    </w:p>
    <w:p>
      <w:pPr>
        <w:spacing w:after="0" w:line="1" w:lineRule="exact"/>
        <w:rPr>
          <w:rFonts w:ascii="Arial" w:cs="Arial" w:eastAsia="Arial" w:hAnsi="Arial"/>
          <w:sz w:val="18"/>
          <w:szCs w:val="18"/>
          <w:color w:val="auto"/>
        </w:rPr>
      </w:pPr>
    </w:p>
    <w:p>
      <w:pPr>
        <w:ind w:left="800" w:right="180" w:hanging="401"/>
        <w:spacing w:after="0" w:line="265"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Double E Financing. </w:t>
      </w:r>
      <w:r>
        <w:rPr>
          <w:rFonts w:ascii="Arial" w:cs="Arial" w:eastAsia="Arial" w:hAnsi="Arial"/>
          <w:sz w:val="17"/>
          <w:szCs w:val="17"/>
          <w:color w:val="auto"/>
        </w:rPr>
        <w:t>In December 2019, as part of our financing for the Double E Project, we formed Permian Holdco, a newly created,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unrestricted subsidiary of SMLP that indirectly owns SMLP’s 70% interest in Double E. In connection with the formation of Permian Holdco, we entered into an agreement with TPG Energy Solutions Anthem, L.P. (“TPG”) on December 24, 2019 to fund up to $80 million of Permian Holdco’s future capital calls associated with the Double E Project. Simultaneously, on December 24, 2019, Permian Holdco issued 30,000 Subsidiary Series A Preferred Units to TPG for net proceeds of $27.4 million.</w:t>
      </w:r>
    </w:p>
    <w:p>
      <w:pPr>
        <w:jc w:val="both"/>
        <w:ind w:left="800" w:hanging="401"/>
        <w:spacing w:after="0" w:line="281"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 Rock. </w:t>
      </w:r>
      <w:r>
        <w:rPr>
          <w:rFonts w:ascii="Arial" w:cs="Arial" w:eastAsia="Arial" w:hAnsi="Arial"/>
          <w:sz w:val="16"/>
          <w:szCs w:val="16"/>
          <w:color w:val="auto"/>
        </w:rPr>
        <w:t>In December 2019, Red Rock Gathering and certain affiliates of SMLP (collectively, “the Red Rock Parties”) entered into a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Sale Agreement (the “Red Rock PSA”) pursuant to which the Red Rock Parties agreed to sell certain Red Rock Gathering system assets for a cash purchase price of $12.0 million (the “Red Rock Sale”). Prior to closing, we recorded an impairment charge of $14.2 million based on the expected consideration and the carrying value for the Red Rock Gathering system assets. On December 2, 2019, we closed the Red Rock Sale.</w:t>
      </w:r>
    </w:p>
    <w:p>
      <w:pPr>
        <w:spacing w:after="0" w:line="2" w:lineRule="exact"/>
        <w:rPr>
          <w:rFonts w:ascii="Arial" w:cs="Arial" w:eastAsia="Arial" w:hAnsi="Arial"/>
          <w:sz w:val="16"/>
          <w:szCs w:val="16"/>
          <w:color w:val="auto"/>
        </w:rPr>
      </w:pPr>
    </w:p>
    <w:p>
      <w:pPr>
        <w:jc w:val="both"/>
        <w:ind w:left="800" w:right="160"/>
        <w:spacing w:after="0" w:line="250" w:lineRule="auto"/>
        <w:rPr>
          <w:rFonts w:ascii="Arial" w:cs="Arial" w:eastAsia="Arial" w:hAnsi="Arial"/>
          <w:sz w:val="16"/>
          <w:szCs w:val="16"/>
          <w:color w:val="auto"/>
        </w:rPr>
      </w:pPr>
      <w:r>
        <w:rPr>
          <w:rFonts w:ascii="Arial" w:cs="Arial" w:eastAsia="Arial" w:hAnsi="Arial"/>
          <w:sz w:val="18"/>
          <w:szCs w:val="18"/>
          <w:color w:val="auto"/>
        </w:rPr>
        <w:t>The impairment is included in the Long-lived asset impairment caption on the consolidated statement of operations. The financial contribution of these assets (a component of the Piceance Basin reportable segment) are included in our consolidated financial statements and footnotes for the period from January 1, 2019 through December 1, 2019.</w:t>
      </w:r>
    </w:p>
    <w:p>
      <w:pPr>
        <w:spacing w:after="0" w:line="1" w:lineRule="exact"/>
        <w:rPr>
          <w:rFonts w:ascii="Arial" w:cs="Arial" w:eastAsia="Arial" w:hAnsi="Arial"/>
          <w:sz w:val="16"/>
          <w:szCs w:val="16"/>
          <w:color w:val="auto"/>
        </w:rPr>
      </w:pPr>
    </w:p>
    <w:p>
      <w:pPr>
        <w:ind w:left="800" w:right="20" w:hanging="401"/>
        <w:spacing w:after="0" w:line="269"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Tioga Midstream. </w:t>
      </w:r>
      <w:r>
        <w:rPr>
          <w:rFonts w:ascii="Arial" w:cs="Arial" w:eastAsia="Arial" w:hAnsi="Arial"/>
          <w:sz w:val="17"/>
          <w:szCs w:val="17"/>
          <w:color w:val="auto"/>
        </w:rPr>
        <w:t>Until March 22, 2019, we owned Tioga Midstream, a crude oil, produced water and associated natural gas gathering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Williston Basin. On March 22,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consolidated statement of operations. The financial results of Tioga Midstream (a component of the Williston Basin reportable segment) are included in our consolidated financial statements and footnotes for the historical periods through March 22, 2019. Refer to Note 18 to the consolidated financial statements for details on the sale of Tioga Midstream.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100" w:hanging="401"/>
        <w:spacing w:after="0" w:line="279" w:lineRule="auto"/>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2019 Restructuring Costs. </w:t>
      </w:r>
      <w:r>
        <w:rPr>
          <w:rFonts w:ascii="Arial" w:cs="Arial" w:eastAsia="Arial" w:hAnsi="Arial"/>
          <w:sz w:val="17"/>
          <w:szCs w:val="17"/>
          <w:color w:val="auto"/>
        </w:rPr>
        <w:t>In the third quarter of 2019, we began an internal initiative to evaluate and transform our cost structure, enhance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margins and improve our competitive position in response to a weakening commodity price backdrop. For the year ended December 31, 2019, we incurred approximately $5.0 million in restructuring costs relating to this initiative (included in general and administrative expense). For the year ended December 31, 2020, we incurred an additional $3.5 million related to this initiative.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Ongoing impact of the COVID-19 pandemic and reduced demand and prices for oil;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Shifts in operating costs and inflation.</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Ongoing impact of the COVID-19 pandemic and reduced demand and prices for oil. </w:t>
      </w:r>
      <w:r>
        <w:rPr>
          <w:rFonts w:ascii="Arial" w:cs="Arial" w:eastAsia="Arial" w:hAnsi="Arial"/>
          <w:sz w:val="17"/>
          <w:szCs w:val="17"/>
          <w:color w:val="auto"/>
        </w:rPr>
        <w:t>We are closely monitoring the impact of the outbreak of COVID-19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all aspects of our business, including how it has impacted and will impact our customers, employees, supply chain and distribution network. We are unable to predict the ultimate impact that COVID-19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pacing w:after="0" w:line="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impaired,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significant reduction in global demand for oil and natural gas caused by the economic effects of the COVID-19 pandemic, there were also volatile oil prices during 2020 largely due to a supply and demand imbalance and actions by members of OPEC and other foreign, oil-exporting countries. This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Over the past several months, we have collaborated extensively with our customer base regarding production reductions and delays to drilling and completion activities in light of the current commodity price backdrop and COVID-19 pandemic. Given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continued volatility in market conditions since March 2020, and based on recently updated production forecasts and 2021 development plans from our customers, we currently expect our 2021 results to be affected by decreased drilling activity.</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auto"/>
        </w:rPr>
        <w:t xml:space="preserve">Natural gas, NGL and crude oil supply and demand dynamics. </w:t>
      </w:r>
      <w:r>
        <w:rPr>
          <w:rFonts w:ascii="Arial" w:cs="Arial" w:eastAsia="Arial" w:hAnsi="Arial"/>
          <w:sz w:val="17"/>
          <w:szCs w:val="17"/>
          <w:color w:val="auto"/>
        </w:rPr>
        <w:t>Natural gas continues to be a critical component of energy supply and demand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The average spot price of natural gas decreased by approximately 21% from 2020 to 2019, primarily due to natural gas supply exceeding demand. The average daily Henry Hub Natural Gas Spot Price was $2.03 per MMBtu during 2020, compared with $2.56 per MMBtu during 2019. Henry Hub closed at $2.36 per MMBtu on December 31, 2020. As of February 18, 2021, Henry Hub 12-month strip pricing closed at $3.11 per MMBtu. Natural gas prices continue to trade at lower-than-average historical prices due in part to increased natural gas production and an elevated level of natural gas in storage in the continental United States. The average amount of working natural gas in underground storage in the continental U.S. was 3.05 Tcfe in 2020, which was 23.4% higher than in 2019. In the near term, we believe that until the supply of natural gas in storage has been reduced, natural gas prices are likely to remain constrained.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However,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certain of our gathering systems are directly affected by crude oil supply and demand dynamics. Crude oil prices decreased in 2020, with the average daily Cushing, Oklahoma West Texas Intermediate crude oil spot price decreasing from an average $56.99 per barrel during 2019 to an average of $39.16 per barrel during 2020, representing a 31.3% decrease, reflecting broader market concerns for global oil supply and demand dynamics. In response to the general decrease in crude oil prices, the number of active crude oil drilling rigs in the continental United States decreased from 677 in December 2019 to 267 in December 2020, according to Baker Hughes. Over the next several years, we expect that crude oil prices will support continued drilling activity and increasing production in the Williston Basin, Permian Basin and, given the current regulatory environment in Colorado, in rural parts of the DJ Basin.</w:t>
      </w:r>
    </w:p>
    <w:p>
      <w:pPr>
        <w:spacing w:after="0" w:line="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Growth in production from U.S. shale plays. </w:t>
      </w:r>
      <w:r>
        <w:rPr>
          <w:rFonts w:ascii="Arial" w:cs="Arial" w:eastAsia="Arial" w:hAnsi="Arial"/>
          <w:sz w:val="17"/>
          <w:szCs w:val="17"/>
          <w:color w:val="auto"/>
        </w:rPr>
        <w:t>Over the past several years, natural gas production from unconventional shale resources has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significantly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Marcellus, Utica and Permian Basin shale plays in which we operate, and we believe that these long-term capital investments will support drilling activity in unconventional shale plays over the long term.</w:t>
      </w:r>
    </w:p>
    <w:p>
      <w:pPr>
        <w:spacing w:after="0" w:line="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Rate of growth in production from U.S. shale plays. </w:t>
      </w:r>
      <w:r>
        <w:rPr>
          <w:rFonts w:ascii="Arial" w:cs="Arial" w:eastAsia="Arial" w:hAnsi="Arial"/>
          <w:sz w:val="16"/>
          <w:szCs w:val="16"/>
          <w:color w:val="auto"/>
        </w:rPr>
        <w:t>Some of our producer customers have adjusted their drilling and completion activities and schedules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Capital markets availability and cost of capital. </w:t>
      </w:r>
      <w:r>
        <w:rPr>
          <w:rFonts w:ascii="Arial" w:cs="Arial" w:eastAsia="Arial" w:hAnsi="Arial"/>
          <w:sz w:val="16"/>
          <w:szCs w:val="16"/>
          <w:color w:val="auto"/>
        </w:rPr>
        <w:t>Credit markets were volatile throughout 2019, as borrowing costs increased and investors assessed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 of rising rates on broader economic activity. Capital markets conditions, including but not limited to availability and higher borrowing costs, could affect our ability to access the debt capital markets to the extent necessary, to fund our future growth. Furthermore, market demand for equity issued by master limited partnerships has been significantly lower in recent years than it has been historically, which may make it more challenging for us to finance our capital expenditures with the issuance of additional equity. We announced the elimination of our common unit distribution in May 2020 beginning with the distribution paid in respect of the second quarter of 2020, and this action may further reduce demand for our common units. In addition, interest rates on future credit facilities and debt offerings could be higher than current levels, causing our financing costs to increase accordingly.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Shifts in operating costs and inflation. </w:t>
      </w:r>
      <w:r>
        <w:rPr>
          <w:rFonts w:ascii="Arial" w:cs="Arial" w:eastAsia="Arial" w:hAnsi="Arial"/>
          <w:sz w:val="17"/>
          <w:szCs w:val="17"/>
          <w:color w:val="auto"/>
        </w:rPr>
        <w:t>Throughout most of the last five years, high levels of crude oil and natural gas exploration,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activities across the United States resulted in increased competition for personnel and equipment as well as higher prices for labor, supplies, equipment and other services. Beginning in 2015, this dynamic began to shift as prices for crude oil and natural gas-related services decreased in line with overall decline in demand for these goods and services. While we expect lower service-related costs in the near term, we expect that over the longer term, these costs will continue to have a high correlation to changes in the prevailing price of crude oil and natural gas.</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47" w:right="4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 and report our operations in the midstream energy industry through eight reportable segments: Utica Shale, Ohio Gathering, Williston Basin, DJ Basin, Permian Basin, Piceance Basin, Barnett Shale, and Marcellus Shale.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20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and (iv) segment 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Throughput Volume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spacing w:after="0" w:line="7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spacing w:after="0" w:line="1" w:lineRule="exact"/>
        <w:rPr>
          <w:sz w:val="20"/>
          <w:szCs w:val="20"/>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successful drilling activity within our AMIs;</w:t>
      </w:r>
    </w:p>
    <w:p>
      <w:pPr>
        <w:spacing w:after="0" w:line="102"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work-overs and recompletions of wells on existing pad sites to which our gathering systems are connected;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new pad sites in our AMIs awaiting connections;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compete for volumes from successful new wells in the areas in which we operate outside of our existing AMIs;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gather, treat and/or process production that has been released from commitments with our competitors.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report volumes gathered for natural gas in cubic feet per day. We aggregate crude oil and produced water gathering and report volumes gathered in barrels per day.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revenues are primarily attributable to the volumes that we gather, compress, treat and/or process and the rates we charge for those services. A majority of our gathering and processing agreements are fee-based, which limits our direct exposure to fluctuations in commodity prices. We also have percent-of-proceeds arrangements with certain customers under which the gathering and processing revenues that we earn correlate directly with the fluctuating price of natural gas, condensate and NGLs.</w:t>
      </w:r>
    </w:p>
    <w:p>
      <w:pPr>
        <w:spacing w:after="0" w:line="7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and Maintenance Expenses</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adjusted EBITDA is a supplemental financial measure used by management and by external users of our financial statements such as investors, commercial banks, research analysts and others.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Segment adjusted EBITDA is used to assess:</w:t>
      </w:r>
    </w:p>
    <w:p>
      <w:pPr>
        <w:spacing w:after="0" w:line="117" w:lineRule="exact"/>
        <w:rPr>
          <w:sz w:val="20"/>
          <w:szCs w:val="20"/>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our assets to generate cash sufficient to make cash distributions and support our indebtedness;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financial performance of our assets without regard to financing methods, capital structure or historical cost basis;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operating performance and return on capital as compared to other companies in the midstream energy sector, without regard to financing or capital structure;</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attractiveness of capital projects and acquisitions and the overall rates of return on alternative investment opportunities; and</w:t>
      </w:r>
    </w:p>
    <w:p>
      <w:pPr>
        <w:spacing w:after="0" w:line="117" w:lineRule="exact"/>
        <w:rPr>
          <w:rFonts w:ascii="Arial" w:cs="Arial" w:eastAsia="Arial" w:hAnsi="Arial"/>
          <w:sz w:val="18"/>
          <w:szCs w:val="18"/>
          <w:color w:val="auto"/>
        </w:rPr>
      </w:pPr>
    </w:p>
    <w:p>
      <w:pPr>
        <w:ind w:left="800" w:right="20" w:hanging="401"/>
        <w:spacing w:after="0" w:line="308"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financial performance of our assets without regard to (i) income or loss from equity method investees, (ii) the impact of the timing of MVC shortfall payments under our gathering agreements or (iii) the timing of impairments or other noncash income or expense items.</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information on pending accounting changes that are expected to materially impact our financial results reported in future periods, see Note 2 to the consolidated financial statements.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47" w:right="4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 for the 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data and volume throughput for the years ended December 31,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5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55"/>
        </w:trPr>
        <w:tc>
          <w:tcPr>
            <w:tcW w:w="6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302,792</w:t>
            </w:r>
          </w:p>
        </w:tc>
        <w:tc>
          <w:tcPr>
            <w:tcW w:w="6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326,747</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49,319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86,994</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(43%)</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31,362</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29,787</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383,473</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443,528</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36,653</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63,438</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(42%)</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32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86,030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98,719</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73,438</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55,947</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118,132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110,354</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2,993</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3,017</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(80%)</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13,089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60,507</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(78%)</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330,028</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406,657</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(89%)</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(91,966)</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203,062</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equity method investment income (loss)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177,661</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(54,644)</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equity method investees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11,271</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(337,851)</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189,078</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(393,726)</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b w:val="1"/>
                <w:bCs w:val="1"/>
                <w:color w:val="auto"/>
              </w:rPr>
              <w:t>Volume throughput (1):</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natural</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gas (MMcf/d)</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1,397</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8"/>
                <w:szCs w:val="18"/>
                <w:color w:val="auto"/>
              </w:rPr>
              <w:t>Aggregate average daily throughput - liquids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(Mbbl/d)</w:t>
            </w:r>
          </w:p>
        </w:tc>
        <w:tc>
          <w:tcPr>
            <w:tcW w:w="32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ind w:left="200" w:hanging="192"/>
        <w:spacing w:after="0" w:line="204" w:lineRule="auto"/>
        <w:tabs>
          <w:tab w:leader="none" w:pos="20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Exclusive of volume throughput for Ohio Gathering. For additional information, see the "Ohio Gathering" section herein.</w:t>
      </w:r>
    </w:p>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22 MMcf/d for the year ended December 31, 2020 compared to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primarily reflecting:</w:t>
      </w:r>
    </w:p>
    <w:p>
      <w:pPr>
        <w:spacing w:after="0" w:line="62" w:lineRule="exact"/>
        <w:rPr>
          <w:sz w:val="20"/>
          <w:szCs w:val="20"/>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volume throughput increase of 5 MMcf/d for the Marcellus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volume throughput decrease of 88 MMcf/d for the Piceance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volume throughput increase of 85 MMcf/d for the Utica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volume throughput increase of 14 MMcf/d for the Permian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volume throughput decrease of 39 MMcf/d for the Barnett Shale segment.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decreased 26 Mbbl/d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volumes, see the "Segment Overview for the Years Ended December 31, 2020 and 2019" section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Total revenues decreased $60.1 million during the year ended December 31, 2020 compared to the prior year primarily comprised of a $24.0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decrease in gathering services and related fees and a $37.7 million decrease in natural gas, NGLs and condensate sales.</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$24.0 million compared to the year ended December 31, 2019, primarily reflecting:</w:t>
      </w:r>
    </w:p>
    <w:p>
      <w:pPr>
        <w:spacing w:after="0" w:line="62" w:lineRule="exact"/>
        <w:rPr>
          <w:sz w:val="20"/>
          <w:szCs w:val="20"/>
          <w:color w:val="auto"/>
        </w:rPr>
      </w:pPr>
    </w:p>
    <w:p>
      <w:pPr>
        <w:ind w:left="800" w:right="560" w:hanging="401"/>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$7.2 million decrease in gathering services and related fees in the Barnett Shale primarily reflecting $7.5 million in lower gas gathering revenue attributable to a MVC with a customer in 2019 that expired in 2020.</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$14.7 million decrease in gathering services and related fees in the Piceance Basin relating to lower volume throughput due to a lack of drilling and completion activity and natural production declines.</w:t>
      </w:r>
    </w:p>
    <w:p>
      <w:pPr>
        <w:spacing w:after="0" w:line="62" w:lineRule="exact"/>
        <w:rPr>
          <w:rFonts w:ascii="Arial" w:cs="Arial" w:eastAsia="Arial" w:hAnsi="Arial"/>
          <w:sz w:val="18"/>
          <w:szCs w:val="18"/>
          <w:color w:val="auto"/>
        </w:rPr>
      </w:pPr>
    </w:p>
    <w:p>
      <w:pPr>
        <w:jc w:val="both"/>
        <w:ind w:left="800" w:right="160" w:hanging="401"/>
        <w:spacing w:after="0" w:line="263"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$4.6 million increase in gathering services and related fees in the Utica Shale primarily due to the completion of new wells throughout 2019, and in 2020, and a more favorable volume and gathering rate mix from customers, partially offset by natural production declines from existing wells.</w:t>
      </w:r>
    </w:p>
    <w:p>
      <w:pPr>
        <w:spacing w:after="0" w:line="75" w:lineRule="exact"/>
        <w:rPr>
          <w:rFonts w:ascii="Arial" w:cs="Arial" w:eastAsia="Arial" w:hAnsi="Arial"/>
          <w:sz w:val="18"/>
          <w:szCs w:val="18"/>
          <w:color w:val="auto"/>
        </w:rPr>
      </w:pPr>
    </w:p>
    <w:p>
      <w:pPr>
        <w:ind w:left="800" w:right="160" w:hanging="401"/>
        <w:spacing w:after="0" w:line="259"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$18.4 million decrease in gathering services and related fees in the Williston Basin primarily reflecting a decrease in gathering services and related fees attributable to the sale of the Tioga Midstream system on March 22, 2019, whose 2019 financial results are included for the period from January 1, 2019 through March 22, 2019 as well as lower liquids volume throughput, partially offset by the completion of new wells through 2019 and 2020.</w:t>
      </w:r>
    </w:p>
    <w:p>
      <w:pPr>
        <w:spacing w:after="0" w:line="78" w:lineRule="exact"/>
        <w:rPr>
          <w:rFonts w:ascii="Arial" w:cs="Arial" w:eastAsia="Arial" w:hAnsi="Arial"/>
          <w:sz w:val="18"/>
          <w:szCs w:val="18"/>
          <w:color w:val="auto"/>
        </w:rPr>
      </w:pPr>
    </w:p>
    <w:p>
      <w:pPr>
        <w:ind w:left="800" w:right="300" w:hanging="401"/>
        <w:spacing w:after="0" w:line="291" w:lineRule="auto"/>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$1.9 million increase in gathering services and related fees in the DJ Basin primarily as a result of ongoing drilling and completion activity across our service area, a more favorable volume and gathering rate mix from customers and the commissioning of our new natural</w:t>
      </w:r>
    </w:p>
    <w:p>
      <w:pPr>
        <w:ind w:left="800" w:right="520"/>
        <w:spacing w:after="0" w:line="290" w:lineRule="auto"/>
        <w:rPr>
          <w:rFonts w:ascii="Arial" w:cs="Arial" w:eastAsia="Arial" w:hAnsi="Arial"/>
          <w:sz w:val="16"/>
          <w:szCs w:val="16"/>
          <w:color w:val="auto"/>
        </w:rPr>
      </w:pPr>
      <w:r>
        <w:rPr>
          <w:rFonts w:ascii="Arial" w:cs="Arial" w:eastAsia="Arial" w:hAnsi="Arial"/>
          <w:sz w:val="17"/>
          <w:szCs w:val="17"/>
          <w:color w:val="auto"/>
        </w:rPr>
        <w:t>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53" w:lineRule="exact"/>
        <w:rPr>
          <w:rFonts w:ascii="Arial" w:cs="Arial" w:eastAsia="Arial" w:hAnsi="Arial"/>
          <w:sz w:val="16"/>
          <w:szCs w:val="16"/>
          <w:color w:val="auto"/>
        </w:rPr>
      </w:pPr>
    </w:p>
    <w:p>
      <w:pPr>
        <w:ind w:left="800" w:right="560" w:hanging="401"/>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$6.5 million increase in gathering services and related fees in the Permian Basin primarily as a result of an uptick in customer volumes, partially offset by natural production declines from wells previously put in service.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$76.6 million during the year ended December 31, 2020 compared to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primarily reflecting:</w:t>
      </w:r>
    </w:p>
    <w:p>
      <w:pPr>
        <w:spacing w:after="0" w:line="62" w:lineRule="exact"/>
        <w:rPr>
          <w:sz w:val="20"/>
          <w:szCs w:val="20"/>
          <w:color w:val="auto"/>
        </w:rPr>
      </w:pPr>
    </w:p>
    <w:p>
      <w:pPr>
        <w:ind w:left="800" w:hanging="401"/>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$31.2 million decrease in long-lived asset impairments in the DJ Basin in 2019.</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$16.2 million decrease in goodwill impairment charge relating to the Mountaineer Midstream system in the Marcellus Basin in 2019.</w:t>
      </w:r>
    </w:p>
    <w:p>
      <w:pPr>
        <w:spacing w:after="0" w:line="128" w:lineRule="exact"/>
        <w:rPr>
          <w:rFonts w:ascii="Arial" w:cs="Arial" w:eastAsia="Arial" w:hAnsi="Arial"/>
          <w:sz w:val="17"/>
          <w:szCs w:val="17"/>
          <w:color w:val="auto"/>
        </w:rPr>
      </w:pPr>
    </w:p>
    <w:p>
      <w:pPr>
        <w:ind w:left="800" w:right="140" w:hanging="401"/>
        <w:spacing w:after="0" w:line="277"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$14.2 million decrease in long-lived asset impairments relating to the sale of certain Red Rock Gathering system assets in the Piceance Basin in 2019.</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$26.8 million during the year ended December 31, 2020 compared to the year ended December 31, 2019, primarily driven by lower natural gas, NGL and crude oil marketing activity.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$12.7 million for the year ended December 31, 2020 compared to the year ended December 31, 2019.</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in depreciation and amortization expense during 2020 compared to the year ended December 31, 2019 was primarily due to the assets placed into service in the Permian Basin.</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in the year ended December 31, 2020 compared to the year ended December 31, 2019, was primarily a result of our liability management initiatives which included our Open Market Repurchases and Tender Offers, partially offset by a higher outstanding balance on the Revolving Credit Facility.</w:t>
      </w:r>
    </w:p>
    <w:p>
      <w:pPr>
        <w:spacing w:after="0" w:line="7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u w:val="single" w:color="auto"/>
          <w:color w:val="auto"/>
        </w:rPr>
        <w:t>Gain on early extinguishment of debt</w:t>
      </w:r>
      <w:r>
        <w:rPr>
          <w:rFonts w:ascii="Arial" w:cs="Arial" w:eastAsia="Arial" w:hAnsi="Arial"/>
          <w:sz w:val="17"/>
          <w:szCs w:val="17"/>
          <w:color w:val="auto"/>
        </w:rPr>
        <w:t>. The $203.1 million gain on the early extinguishment of debt is primarily related to liability management initiatives undertaken during 2020 that resulted in a $86.4 million gain from the Open Market Repurchases, a $23.3 million gain from the Debt Tender Offers, and a $93.9 million gain from our TL Restructuring. Further details of our liability management results are summarized below.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ECP Loan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Open Market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Tender</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TL</w:t>
            </w:r>
          </w:p>
        </w:tc>
        <w:tc>
          <w:tcPr>
            <w:tcW w:w="200" w:type="dxa"/>
            <w:vAlign w:val="bottom"/>
          </w:tcPr>
          <w:p>
            <w:pPr>
              <w:spacing w:after="0"/>
              <w:rPr>
                <w:sz w:val="14"/>
                <w:szCs w:val="14"/>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Repayment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Repurchases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Offers</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Restructuring</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87"/>
              </w:rPr>
              <w:t>Senior Notes</w:t>
            </w:r>
          </w:p>
        </w:tc>
        <w:tc>
          <w:tcPr>
            <w:tcW w:w="1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Senior Notes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w w:val="87"/>
              </w:rPr>
              <w:t>Senior Notes</w:t>
            </w: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Senior Notes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Gain on Repurchases of Senior</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Notes and TL Restructuring</w:t>
            </w:r>
          </w:p>
        </w:tc>
        <w:tc>
          <w:tcPr>
            <w:tcW w:w="118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11,554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76,789</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9,223</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15,479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99,175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212,220</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Debt issue costs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w:t>
            </w:r>
          </w:p>
        </w:tc>
        <w:tc>
          <w:tcPr>
            <w:tcW w:w="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(249)</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w w:val="93"/>
              </w:rPr>
              <w:t>Gain (loss) on debt extinguishment</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(610)</w:t>
            </w: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8,631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14,661</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93,931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203,062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5"/>
              <w:spacing w:after="0"/>
              <w:rPr>
                <w:sz w:val="20"/>
                <w:szCs w:val="20"/>
                <w:color w:val="auto"/>
              </w:rPr>
            </w:pPr>
            <w:r>
              <w:rPr>
                <w:rFonts w:ascii="Arial" w:cs="Arial" w:eastAsia="Arial" w:hAnsi="Arial"/>
                <w:sz w:val="18"/>
                <w:szCs w:val="18"/>
                <w:color w:val="auto"/>
                <w:w w:val="89"/>
              </w:rPr>
              <w:t>81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 for the 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Utica Shale. </w:t>
      </w:r>
      <w:r>
        <w:rPr>
          <w:rFonts w:ascii="Arial" w:cs="Arial" w:eastAsia="Arial" w:hAnsi="Arial"/>
          <w:sz w:val="17"/>
          <w:szCs w:val="17"/>
          <w:color w:val="auto"/>
        </w:rPr>
        <w:t>The Utica Shale reportable segment includes the Summit Utica system. Volume throughput for our Summit Utica system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Utica Shale</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368"/>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60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358</w:t>
            </w:r>
          </w:p>
        </w:tc>
        <w:tc>
          <w:tcPr>
            <w:tcW w:w="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Volume throughput increased compared to the year ended December 31, 2020 primarily due to new wells that came online in the fourth quarter of 2019 and through the first three quarters of 2020. In addition, volume throughput was impacted by an increase in temporary production curtailments, completion activity and other operational downtime associated with customers on existing pad sites.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275"/>
              <w:spacing w:after="0"/>
              <w:rPr>
                <w:sz w:val="20"/>
                <w:szCs w:val="20"/>
                <w:color w:val="auto"/>
              </w:rPr>
            </w:pPr>
            <w:r>
              <w:rPr>
                <w:rFonts w:ascii="Arial" w:cs="Arial" w:eastAsia="Arial" w:hAnsi="Arial"/>
                <w:sz w:val="14"/>
                <w:szCs w:val="14"/>
                <w:b w:val="1"/>
                <w:bCs w:val="1"/>
                <w:color w:val="auto"/>
                <w:w w:val="92"/>
              </w:rPr>
              <w:t>Utica Shale</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740" w:type="dxa"/>
            <w:vAlign w:val="bottom"/>
            <w:tcBorders>
              <w:bottom w:val="single" w:sz="8" w:color="auto"/>
            </w:tcBorders>
            <w:gridSpan w:val="4"/>
          </w:tcPr>
          <w:p>
            <w:pPr>
              <w:jc w:val="center"/>
              <w:ind w:left="459"/>
              <w:spacing w:after="0" w:line="155" w:lineRule="exact"/>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gridSpan w:val="3"/>
          </w:tcPr>
          <w:p>
            <w:pPr>
              <w:jc w:val="center"/>
              <w:ind w:right="295"/>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36,509</w:t>
            </w:r>
          </w:p>
        </w:tc>
        <w:tc>
          <w:tcPr>
            <w:tcW w:w="18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31,926</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revenues</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2,065</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36,509</w:t>
            </w:r>
          </w:p>
        </w:tc>
        <w:tc>
          <w:tcPr>
            <w:tcW w:w="1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33,991</w:t>
            </w:r>
          </w:p>
        </w:tc>
        <w:tc>
          <w:tcPr>
            <w:tcW w:w="130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92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3,396</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4,151</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7,659</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11,358</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12,340</w:t>
            </w:r>
          </w:p>
        </w:tc>
        <w:tc>
          <w:tcPr>
            <w:tcW w:w="130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7,659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reimbursement activity</w:t>
            </w:r>
          </w:p>
        </w:tc>
        <w:tc>
          <w:tcPr>
            <w:tcW w:w="9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Gain on asset sales, net</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8"/>
              </w:rPr>
              <w:t>32,783</w:t>
            </w: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29,292</w:t>
            </w:r>
          </w:p>
        </w:tc>
        <w:tc>
          <w:tcPr>
            <w:tcW w:w="1300" w:type="dxa"/>
            <w:vAlign w:val="bottom"/>
            <w:tcBorders>
              <w:bottom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5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increased $3.5 million compared to the year ended December 31, 2019, primarily due to the volume throughput previously discussed.</w:t>
      </w:r>
    </w:p>
    <w:p>
      <w:pPr>
        <w:spacing w:after="0" w:line="6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We recognize our proportionate share of earnings or loss in net income on a one-month lag based on the financial information available to us during the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Ohio Gathering</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3260" w:type="dxa"/>
            <w:vAlign w:val="bottom"/>
            <w:tcBorders>
              <w:bottom w:val="single" w:sz="8" w:color="auto"/>
            </w:tcBorders>
            <w:gridSpan w:val="4"/>
          </w:tcPr>
          <w:p>
            <w:pPr>
              <w:jc w:val="right"/>
              <w:ind w:right="842"/>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72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571</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732</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2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Volume throughput for the Ohio Gathering system in 2020 decreased compared to the year ended December 31, 2019 as a result of natural production declines on existing wells on the system, fewer well connections, temporary production shut-ins and was partially offset by the completion of new wells.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Ohio Gathering</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0" w:type="dxa"/>
            <w:vAlign w:val="bottom"/>
            <w:tcBorders>
              <w:bottom w:val="single" w:sz="8" w:color="auto"/>
            </w:tcBorders>
            <w:gridSpan w:val="5"/>
          </w:tcPr>
          <w:p>
            <w:pPr>
              <w:jc w:val="right"/>
              <w:ind w:right="199"/>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right"/>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1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method investees</w:t>
            </w:r>
          </w:p>
        </w:tc>
        <w:tc>
          <w:tcPr>
            <w:tcW w:w="2480" w:type="dxa"/>
            <w:vAlign w:val="bottom"/>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8"/>
              </w:rPr>
              <w:t>31,056</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39,126</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23"/>
        </w:trPr>
        <w:tc>
          <w:tcPr>
            <w:tcW w:w="46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8"/>
              </w:rPr>
              <w:t>31,056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39,126</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for equity method investees decreased $8.1 million compared to the year ended December 31, 2019, primarily related to lower volume throughput described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Tioga Midstream (through March 22, 2019; refer to Note 18 to the consolidated financial statements for details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Tioga Midstream) and Bison Midstream systems provide our midstream services for the Williston Basin reportable segment. Volume throughput for our Williston Basin reportable segment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Williston Basin</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3420" w:type="dxa"/>
            <w:vAlign w:val="bottom"/>
            <w:gridSpan w:val="4"/>
          </w:tcPr>
          <w:p>
            <w:pPr>
              <w:ind w:left="78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540" w:type="dxa"/>
            <w:vAlign w:val="bottom"/>
            <w:tcBorders>
              <w:top w:val="single" w:sz="8" w:color="auto"/>
            </w:tcBorders>
            <w:vMerge w:val="restart"/>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vMerge w:val="restart"/>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natural gas (MMcf/d)</w:t>
            </w:r>
          </w:p>
        </w:tc>
        <w:tc>
          <w:tcPr>
            <w:tcW w:w="15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liquids (Mbbl/d)</w:t>
            </w:r>
          </w:p>
        </w:tc>
        <w:tc>
          <w:tcPr>
            <w:tcW w:w="15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in 2020 increased compared to the year ended December 31, 2019, primarily reflecting the completion of new wells behind the Bison Midstream system in the fourth quarter of 2019 and through 2020 partially offset by natural production declines and the sale of Tioga Midstream.</w:t>
      </w:r>
    </w:p>
    <w:p>
      <w:pPr>
        <w:spacing w:after="0" w:line="76"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u w:val="single" w:color="auto"/>
          <w:color w:val="auto"/>
        </w:rPr>
        <w:t>Liquids</w:t>
      </w:r>
      <w:r>
        <w:rPr>
          <w:rFonts w:ascii="Arial" w:cs="Arial" w:eastAsia="Arial" w:hAnsi="Arial"/>
          <w:sz w:val="16"/>
          <w:szCs w:val="16"/>
          <w:color w:val="auto"/>
        </w:rPr>
        <w:t>. Liquids volume throughput in 2020 decreased compared to the year ended December 31, 2019, primarily associated with natural production declines, deferral of completion activities, shut-ins and temporary production curtailments associated with a significant reduction in crude oil prices as a result of a decrease in demand attributable to the COVID-19 pandemic, partially offset by the completion of new wells throughout 2019 and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Williston Basin</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5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59,239</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77,626</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20,018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16,461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13,438</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11,564</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92,695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105,651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12,741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5,821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119%</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23,793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27,172</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1,493</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25,911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19,829</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(96%)</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66,554</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53,148</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25,911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19,829</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16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52,060</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69,437</w:t>
            </w:r>
          </w:p>
        </w:tc>
        <w:tc>
          <w:tcPr>
            <w:tcW w:w="1720" w:type="dxa"/>
            <w:vAlign w:val="bottom"/>
            <w:tcBorders>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3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decreased $17.4 million compared to the year ended December 31, 2019 primarily associated with the decreased liquid volume throughput described above, and the sale of Tioga Midstream in March of 2019. The decrease was partially offset by the increased natural gas volume throughput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 provides midstream services for the DJ Basin reportable segment. Volume throughput for our DJ Basin reportable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DJ Basin</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448"/>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730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00" w:type="dxa"/>
            <w:vAlign w:val="bottom"/>
            <w:gridSpan w:val="2"/>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9"/>
        </w:trPr>
        <w:tc>
          <w:tcPr>
            <w:tcW w:w="6260" w:type="dxa"/>
            <w:vAlign w:val="bottom"/>
            <w:tcBorders>
              <w:top w:val="single" w:sz="8" w:color="CFF0FC"/>
            </w:tcBorders>
            <w:shd w:val="clear" w:color="auto" w:fill="CFF0FC"/>
          </w:tcPr>
          <w:p>
            <w:pPr>
              <w:jc w:val="right"/>
              <w:ind w:right="4336"/>
              <w:spacing w:after="0"/>
              <w:rPr>
                <w:sz w:val="20"/>
                <w:szCs w:val="20"/>
                <w:color w:val="auto"/>
              </w:rPr>
            </w:pPr>
            <w:r>
              <w:rPr>
                <w:rFonts w:ascii="Arial" w:cs="Arial" w:eastAsia="Arial" w:hAnsi="Arial"/>
                <w:sz w:val="18"/>
                <w:szCs w:val="18"/>
                <w:color w:val="auto"/>
                <w:w w:val="90"/>
              </w:rPr>
              <w:t>Average daily throughput</w:t>
            </w: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FF0FC"/>
          </w:tcPr>
          <w:p>
            <w:pPr>
              <w:jc w:val="right"/>
              <w:ind w:right="6328"/>
              <w:spacing w:after="0"/>
              <w:rPr>
                <w:sz w:val="20"/>
                <w:szCs w:val="20"/>
                <w:color w:val="auto"/>
              </w:rPr>
            </w:pPr>
            <w:r>
              <w:rPr>
                <w:rFonts w:ascii="Arial" w:cs="Arial" w:eastAsia="Arial" w:hAnsi="Arial"/>
                <w:sz w:val="18"/>
                <w:szCs w:val="18"/>
                <w:color w:val="auto"/>
              </w:rPr>
              <w:t>(MMcf/d)</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Volume throughput in 2020 decreased compared to the year ended December 31, 2019, primarily as a result of natural production declines, shut-ins and fewer well connection through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5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23,868</w:t>
            </w:r>
          </w:p>
        </w:tc>
        <w:tc>
          <w:tcPr>
            <w:tcW w:w="10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21,940</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389</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3,957</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3,721</w:t>
            </w:r>
          </w:p>
        </w:tc>
        <w:tc>
          <w:tcPr>
            <w:tcW w:w="17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28,070</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26,050</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97%</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9,579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7,616</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245%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6,146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3,732</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3,692</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34,913</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20,592</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46,610</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(56%)</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6,146</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2,113</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3,692</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34,913</w:t>
            </w:r>
          </w:p>
        </w:tc>
        <w:tc>
          <w:tcPr>
            <w:tcW w:w="16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16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19,449</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18,668</w:t>
            </w:r>
          </w:p>
        </w:tc>
        <w:tc>
          <w:tcPr>
            <w:tcW w:w="1720" w:type="dxa"/>
            <w:vAlign w:val="bottom"/>
            <w:tcBorders>
              <w:bottom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increased $0.8 million compared to the year ended December 31, 2019, primarily associated with a more favorable volume and gathering rate mix from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Basin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Permian Basin</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960" w:type="dxa"/>
            <w:vAlign w:val="bottom"/>
            <w:tcBorders>
              <w:bottom w:val="single" w:sz="8" w:color="auto"/>
            </w:tcBorders>
            <w:gridSpan w:val="4"/>
          </w:tcPr>
          <w:p>
            <w:pPr>
              <w:jc w:val="right"/>
              <w:ind w:right="528"/>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3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90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00" w:type="dxa"/>
            <w:vAlign w:val="bottom"/>
            <w:gridSpan w:val="2"/>
            <w:vMerge w:val="continue"/>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19</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throughput in 2020 increased compared to the year ended December 31, 2019, primarily as a result of new well connections in the fourth quarter of 2019 and through the first quarter of 2020, partially offset by natural production declines from wells previously in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Permian Basin</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10,091</w:t>
            </w:r>
          </w:p>
        </w:tc>
        <w:tc>
          <w:tcPr>
            <w:tcW w:w="16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3,610</w:t>
            </w:r>
          </w:p>
        </w:tc>
        <w:tc>
          <w:tcPr>
            <w:tcW w:w="17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180%</w:t>
            </w: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18,857</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16,383</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4"/>
              </w:rPr>
              <w:t>29,533</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20,303</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18,785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15,113</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88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5,755</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5,455</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4,868</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8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1,327</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1"/>
              </w:rPr>
              <w:t>(76%)</w:t>
            </w: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4"/>
              </w:rPr>
              <w:t>30,886</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27,229</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8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4,426</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26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increased $5.3 million compared to the year ended December 31, 2019, primarily as a result of higher volumes throughput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 Piceance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Piceance Basin</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628"/>
              <w:spacing w:after="0" w:line="155" w:lineRule="exact"/>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2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5720" w:type="dxa"/>
            <w:vAlign w:val="bottom"/>
            <w:tcBorders>
              <w:top w:val="single" w:sz="8" w:color="CFF0FC"/>
            </w:tcBorders>
            <w:shd w:val="clear" w:color="auto" w:fill="CFF0FC"/>
          </w:tcPr>
          <w:p>
            <w:pPr>
              <w:jc w:val="right"/>
              <w:ind w:right="3036"/>
              <w:spacing w:after="0"/>
              <w:rPr>
                <w:sz w:val="20"/>
                <w:szCs w:val="20"/>
                <w:color w:val="auto"/>
              </w:rPr>
            </w:pPr>
            <w:r>
              <w:rPr>
                <w:rFonts w:ascii="Arial" w:cs="Arial" w:eastAsia="Arial" w:hAnsi="Arial"/>
                <w:sz w:val="18"/>
                <w:szCs w:val="18"/>
                <w:color w:val="auto"/>
                <w:w w:val="90"/>
              </w:rPr>
              <w:t>Aggregate average daily throughput</w:t>
            </w:r>
          </w:p>
        </w:tc>
        <w:tc>
          <w:tcPr>
            <w:tcW w:w="9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jc w:val="right"/>
              <w:ind w:right="5760"/>
              <w:spacing w:after="0"/>
              <w:rPr>
                <w:sz w:val="20"/>
                <w:szCs w:val="20"/>
                <w:color w:val="auto"/>
              </w:rPr>
            </w:pPr>
            <w:r>
              <w:rPr>
                <w:rFonts w:ascii="Arial" w:cs="Arial" w:eastAsia="Arial" w:hAnsi="Arial"/>
                <w:sz w:val="18"/>
                <w:szCs w:val="18"/>
                <w:color w:val="auto"/>
              </w:rPr>
              <w:t>(MMcf/d)</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452</w:t>
            </w: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in 2020 compared to the year ended December 31, 2019, as a result of natural production declines.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Piceance Basin</w:t>
            </w: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4"/>
          </w:tcPr>
          <w:p>
            <w:pPr>
              <w:jc w:val="right"/>
              <w:ind w:right="367"/>
              <w:spacing w:after="0"/>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5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106,657</w:t>
            </w:r>
          </w:p>
        </w:tc>
        <w:tc>
          <w:tcPr>
            <w:tcW w:w="160" w:type="dxa"/>
            <w:vAlign w:val="bottom"/>
          </w:tcPr>
          <w:p>
            <w:pPr>
              <w:spacing w:after="0"/>
              <w:rPr>
                <w:sz w:val="19"/>
                <w:szCs w:val="19"/>
                <w:color w:val="auto"/>
              </w:rPr>
            </w:pP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121,357</w:t>
            </w:r>
          </w:p>
        </w:tc>
        <w:tc>
          <w:tcPr>
            <w:tcW w:w="19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1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1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2,612</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7,954</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(67%)</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4,621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4,327</w:t>
            </w:r>
          </w:p>
        </w:tc>
        <w:tc>
          <w:tcPr>
            <w:tcW w:w="19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8"/>
              </w:rPr>
              <w:t>113,890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2"/>
              </w:rPr>
              <w:t>133,638</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5,612</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(69%)</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21,064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27,306</w:t>
            </w:r>
          </w:p>
        </w:tc>
        <w:tc>
          <w:tcPr>
            <w:tcW w:w="19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45,203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47,018</w:t>
            </w:r>
          </w:p>
        </w:tc>
        <w:tc>
          <w:tcPr>
            <w:tcW w:w="192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6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14,162</w:t>
            </w:r>
          </w:p>
        </w:tc>
        <w:tc>
          <w:tcPr>
            <w:tcW w:w="19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68,854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95,211</w:t>
            </w:r>
          </w:p>
        </w:tc>
        <w:tc>
          <w:tcPr>
            <w:tcW w:w="19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45,203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47,018</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140"/>
              <w:spacing w:after="0"/>
              <w:rPr>
                <w:sz w:val="20"/>
                <w:szCs w:val="20"/>
                <w:color w:val="auto"/>
              </w:rPr>
            </w:pPr>
            <w:r>
              <w:rPr>
                <w:rFonts w:ascii="Arial" w:cs="Arial" w:eastAsia="Arial" w:hAnsi="Arial"/>
                <w:sz w:val="18"/>
                <w:szCs w:val="18"/>
                <w:color w:val="auto"/>
              </w:rPr>
              <w:t>Adjustments related to MVC</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20"/>
              <w:spacing w:after="0"/>
              <w:rPr>
                <w:sz w:val="20"/>
                <w:szCs w:val="20"/>
                <w:color w:val="auto"/>
              </w:rPr>
            </w:pPr>
            <w:r>
              <w:rPr>
                <w:rFonts w:ascii="Arial" w:cs="Arial" w:eastAsia="Arial" w:hAnsi="Arial"/>
                <w:sz w:val="18"/>
                <w:szCs w:val="18"/>
                <w:color w:val="auto"/>
              </w:rPr>
              <w:t>shortfall payments</w:t>
            </w: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16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reimbursement activity</w:t>
            </w:r>
          </w:p>
        </w:tc>
        <w:tc>
          <w:tcPr>
            <w:tcW w:w="1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6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14,162</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60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88,820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98,765</w:t>
            </w:r>
          </w:p>
        </w:tc>
        <w:tc>
          <w:tcPr>
            <w:tcW w:w="19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decreased $9.9 million compared to the year ended December 31, 2019, primarily associated with the volume throughput decrease described above, and a decrease in operations and maintenance expense primarily due to lower compensation expense associated with lower headcount from our cost cutting initiatives.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Barnett Shale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Barnett Shale</w:t>
            </w: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3260" w:type="dxa"/>
            <w:vAlign w:val="bottom"/>
            <w:tcBorders>
              <w:bottom w:val="single" w:sz="8" w:color="auto"/>
            </w:tcBorders>
            <w:gridSpan w:val="4"/>
          </w:tcPr>
          <w:p>
            <w:pPr>
              <w:jc w:val="right"/>
              <w:ind w:right="842"/>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72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251</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Volume throughput decreased in 2020 compared to the year ended December 31, 2019 reflecting natural production declines partially offset by new volumes from well recompletion and workover activity throughout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Barnett Shale</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54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40,687</w:t>
            </w:r>
          </w:p>
        </w:tc>
        <w:tc>
          <w:tcPr>
            <w:tcW w:w="160" w:type="dxa"/>
            <w:vAlign w:val="bottom"/>
          </w:tcPr>
          <w:p>
            <w:pPr>
              <w:spacing w:after="0"/>
              <w:rPr>
                <w:sz w:val="19"/>
                <w:szCs w:val="19"/>
                <w:color w:val="auto"/>
              </w:rPr>
            </w:pPr>
          </w:p>
        </w:tc>
        <w:tc>
          <w:tcPr>
            <w:tcW w:w="900" w:type="dxa"/>
            <w:vAlign w:val="bottom"/>
            <w:gridSpan w:val="2"/>
          </w:tcPr>
          <w:p>
            <w:pPr>
              <w:jc w:val="right"/>
              <w:ind w:right="75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47,862</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17,147</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(56%)</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 (1)</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6,185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6,793</w:t>
            </w:r>
          </w:p>
        </w:tc>
        <w:tc>
          <w:tcPr>
            <w:tcW w:w="172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54,459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71,802</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10,751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(69%)</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18,814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21,729</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968</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15,174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15,354</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(94%)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1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4,902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10,095</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43,518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58,572</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16,112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16,575</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MVC shortfall</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32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16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reimbursement activity</w:t>
            </w:r>
          </w:p>
        </w:tc>
        <w:tc>
          <w:tcPr>
            <w:tcW w:w="16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Gain on asset sales, net</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4,902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10,095</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168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32,093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43,043</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ind w:left="200" w:hanging="192"/>
        <w:spacing w:after="0" w:line="204" w:lineRule="auto"/>
        <w:tabs>
          <w:tab w:leader="none" w:pos="20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Includes the amortization expense associated with our favorable and unfavorable gas gathering contracts as reported in other revenues.</w:t>
      </w:r>
    </w:p>
    <w:p>
      <w:pPr>
        <w:spacing w:after="0" w:line="1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decreased $10.9 million compared to the year ended December 31, 2019 primarily related to the decreased volume throughput described above.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the Marcellus Shale reportable segment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Marcellus Shale</w:t>
            </w: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71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9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368</w:t>
            </w:r>
          </w:p>
        </w:tc>
        <w:tc>
          <w:tcPr>
            <w:tcW w:w="1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363</w:t>
            </w:r>
          </w:p>
        </w:tc>
        <w:tc>
          <w:tcPr>
            <w:tcW w:w="1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w:t>
            </w: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Volume throughput increased in 2020 compared to the year ended December 31, 2019, primarily due to new well connection in the third quarter of 2020, partially offset by natural production declines.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Marcellus Shale</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72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25,741</w:t>
            </w:r>
          </w:p>
        </w:tc>
        <w:tc>
          <w:tcPr>
            <w:tcW w:w="160" w:type="dxa"/>
            <w:vAlign w:val="bottom"/>
          </w:tcPr>
          <w:p>
            <w:pPr>
              <w:spacing w:after="0"/>
              <w:rPr>
                <w:sz w:val="19"/>
                <w:szCs w:val="19"/>
                <w:color w:val="auto"/>
              </w:rPr>
            </w:pPr>
          </w:p>
        </w:tc>
        <w:tc>
          <w:tcPr>
            <w:tcW w:w="900" w:type="dxa"/>
            <w:vAlign w:val="bottom"/>
            <w:gridSpan w:val="2"/>
          </w:tcPr>
          <w:p>
            <w:pPr>
              <w:jc w:val="right"/>
              <w:ind w:right="75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24,471</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8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25,741</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24,471</w:t>
            </w:r>
          </w:p>
        </w:tc>
        <w:tc>
          <w:tcPr>
            <w:tcW w:w="1720" w:type="dxa"/>
            <w:vAlign w:val="bottom"/>
            <w:tcBorders>
              <w:top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9,195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9,141</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16,211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86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12,875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29,734</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5"/>
              </w:rPr>
              <w:t>(57%)</w:t>
            </w: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9,195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9,141</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16,211</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20"/>
              <w:spacing w:after="0"/>
              <w:rPr>
                <w:sz w:val="20"/>
                <w:szCs w:val="20"/>
                <w:color w:val="auto"/>
              </w:rPr>
            </w:pPr>
            <w:r>
              <w:rPr>
                <w:rFonts w:ascii="Arial" w:cs="Arial" w:eastAsia="Arial" w:hAnsi="Arial"/>
                <w:sz w:val="18"/>
                <w:szCs w:val="18"/>
                <w:color w:val="auto"/>
              </w:rPr>
              <w:t>reimbursement activity</w:t>
            </w: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8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860" w:type="dxa"/>
            <w:vAlign w:val="bottom"/>
          </w:tcPr>
          <w:p>
            <w:pPr>
              <w:spacing w:after="0"/>
              <w:rPr>
                <w:sz w:val="19"/>
                <w:szCs w:val="19"/>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22,015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20,051</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Year ended December 31, 2020</w:t>
      </w:r>
      <w:r>
        <w:rPr>
          <w:rFonts w:ascii="Arial" w:cs="Arial" w:eastAsia="Arial" w:hAnsi="Arial"/>
          <w:sz w:val="18"/>
          <w:szCs w:val="18"/>
          <w:color w:val="auto"/>
        </w:rPr>
        <w:t>. Segment adjusted EBITDA increased $2.0 million compared to the year ended December 31, 2019, primarily associated with the increased volume throughput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Overview for the Years Ended December 31, 2020 and 2019</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interest expense and early extinguishment of debt.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0" w:type="dxa"/>
            <w:vAlign w:val="bottom"/>
            <w:gridSpan w:val="4"/>
          </w:tcPr>
          <w:p>
            <w:pPr>
              <w:ind w:left="42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3"/>
          </w:tcPr>
          <w:p>
            <w:pPr>
              <w:jc w:val="right"/>
              <w:ind w:right="874"/>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Total revenues</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2,575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27,622</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(91%)</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26,107</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67,324</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50,797</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Transaction costs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2,993</w:t>
            </w:r>
          </w:p>
        </w:tc>
        <w:tc>
          <w:tcPr>
            <w:tcW w:w="20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3,017</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78,894</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91,966</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Gain on asset sales or disposals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1,740</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(203,062)</w:t>
            </w:r>
          </w:p>
        </w:tc>
        <w:tc>
          <w:tcPr>
            <w:tcW w:w="20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226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gathering services, natural gas, and condensate sales. The decrease of $25.0 million compared to the year ended December 31, 2019 was primarily attributable to the wind down of our marketing group in 2020 as well as lower natural gas activity.</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in 2019. The decrease of $26.1 million compared to the year ended December 31, 2019 was attributable to the wind down of our marketing group in 2020.</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attributable to Corporate and Other increased by $16.5 million, primarily related to a $17.0 million loss contingency accrual in 2020, see note 11 of the consolidated financial statements for additional information.</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year ended December 31, 2020 are primarily related to costs associated with our liability management initiatives.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decreased $13.1 million compared to the year ended December 31, 2019 primarily as a result of our liability management initiatives which included our Open Market Repurchases and Tender Offers, partially offset by a higher outstanding balance on the Revolving Credit Facility.</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Gain on Early Extinguishment of Debt</w:t>
      </w:r>
      <w:r>
        <w:rPr>
          <w:rFonts w:ascii="Arial" w:cs="Arial" w:eastAsia="Arial" w:hAnsi="Arial"/>
          <w:sz w:val="18"/>
          <w:szCs w:val="18"/>
          <w:color w:val="auto"/>
        </w:rPr>
        <w:t>. The gain on the early extinguishment of debt is primarily related to liability management initiatives undertaken during 2020 that resulted in a $86.4 million gain from the Open Market Repurchases, a $23.3 million gain from the Debt Tender Offers, and a $93.9 million gain from our TL Restructuring.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depend primarily on funds generated from our operations, our Revolving Credit Facility, our cash and cash equivalents balance, and capital markets as our primary sources of liquidity. Looking forward to 2021, we will seek to reduce indebtedness and extend our indebtedness maturities. As a result, we expect to fund future expenditures from cash generated by our operations, our Revolving Credit Facility, our cash equivalents on hand. If optimal, we may also consider accessing the capital markets, opportunistic divestitures or joint ventures involving our existing midstream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$1.1 billion senior secured Revolving Credit Facility with a maturity of May 2022 (see Note 9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of December 31, 2020, the outstanding balance of the Revolving Credit Facility was $857.0 million and the unused portion totaled $238.9 million, after giving effect to the issuance thereunder of a $4.1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outstanding but undrawn irrevocable standby letter of credit. Based on covenant limits, our available borrowing capacity under the Revolving Credit Facility as of December 31, 2020 was approximately $105 million. There were no defaults or events of default during 2020, and as of December 31, 2020, we were in compliance with the financial covenants in the Revolving Credit Facility. Our total leverage ratio and senior secured leverage ratio (as defined in the Revolving Credit Agreement) was 5.1 to 1.0 and 3.2 to 1.0, respectively, relative to maximum threshold limits of 5.75 to 1.0 and 3.5 to 1.0. Given further deterioration of market conditions, decreased drilling activity, the deferral of well completions from customers, limitations on our ability to access the capital markets at a competitive cost to fund our capital expenditures and, on a limited scale, temporary production curtailments, we could have total leverage and senior secured leverage ratios that are higher than the levels prescribed in the applicable indebtedness agreements. Adverse developments in our areas of operation could materially adversely impact our financial condition, results of operations and cash flows. See Note 9 to the consolidated financial statements for more information on the Revolving Credit Facility and the issuance of the $4.1 million letter of credit.</w:t>
      </w:r>
    </w:p>
    <w:p>
      <w:pPr>
        <w:spacing w:after="0" w:line="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2022 Senior Notes. </w:t>
      </w:r>
      <w:r>
        <w:rPr>
          <w:rFonts w:ascii="Arial" w:cs="Arial" w:eastAsia="Arial" w:hAnsi="Arial"/>
          <w:sz w:val="18"/>
          <w:szCs w:val="18"/>
          <w:color w:val="auto"/>
        </w:rPr>
        <w:t>In July 2014, Summit Holdings and its 100% owned finance subsidiary, Finance Corp. (together with Summit Holdings, the "Co-Issuers") co-issued $300.0 million of 5.5% senior unsecured notes maturing August 15, 2022 (the "2022 Senior Notes" and, together with the 2025 Senior Notes (defined below), the “Senior Notes”). As of December 31, 2020, the outstanding balance of the 2022 Senior Notes is $234.0 million. We pay interest on the 2022 Senior Notes semi-annually in cash in arrears on February 15 and August 15 of each year. The 2022 Senior Notes are senior, unsecured obligations and rank equally in right of payment with all of our existing and future senior obligations. The 2022 Senior Notes are effectively subordinated in right of payment to all secured indebtedness, to the extent of the collateral securing such indebtedness. The Co-Issuers may redeem all or part of the 2022 Senior Notes at a redemption price of 100.000%, plus accrued and unpaid interest, if any. Debt issuance costs of $5.1 million are being amortized over the life of the 2022 Senior Notes. As of and during the year ended December 31, 2020, we were in compliance with the financial covenants governing our 2022 Senior Notes.</w:t>
      </w:r>
    </w:p>
    <w:p>
      <w:pPr>
        <w:spacing w:after="0" w:line="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2025 Senior Notes. </w:t>
      </w:r>
      <w:r>
        <w:rPr>
          <w:rFonts w:ascii="Arial" w:cs="Arial" w:eastAsia="Arial" w:hAnsi="Arial"/>
          <w:sz w:val="18"/>
          <w:szCs w:val="18"/>
          <w:color w:val="auto"/>
        </w:rPr>
        <w:t>In February 2017, the Co-Issuers co-issued $500.0 million of 5.75% senior unsecured notes maturing April 15, 2025 (the “2025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As of December 31, 2020, the outstanding balance of the 2025 Senior Notes was $259.5 million. We pay interest on the 2025 Senior Notes semi-annually in cash in arrears on April 15 and October 15 of each year.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w:t>
      </w:r>
    </w:p>
    <w:p>
      <w:pPr>
        <w:spacing w:after="0" w:line="8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Co-Issuers may redeem all or part of the 2025 Senior Notes at a redemption price of 104.313% (with the redemption price declining ratably each April 15 to 100.000% on April 15, 2023), plus accrued and unpaid interest, if any, to, but not including, the redemption date. Debt issuance costs of $7.7 million are being amortized over the life of the 2025 Senior Notes. As of and during the year ended December 31, 2020, we were in compliance with the financial covenants governing our 2025 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9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198,589</w:t>
            </w:r>
          </w:p>
        </w:tc>
        <w:tc>
          <w:tcPr>
            <w:tcW w:w="6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161,741</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(140,569)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(90,870)</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(79,398)</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(50,122)</w:t>
            </w:r>
          </w:p>
        </w:tc>
        <w:tc>
          <w:tcPr>
            <w:tcW w:w="0" w:type="dxa"/>
            <w:vAlign w:val="bottom"/>
          </w:tcPr>
          <w:p>
            <w:pPr>
              <w:spacing w:after="0"/>
              <w:rPr>
                <w:sz w:val="1"/>
                <w:szCs w:val="1"/>
                <w:color w:val="auto"/>
              </w:rPr>
            </w:pPr>
          </w:p>
        </w:tc>
      </w:tr>
      <w:tr>
        <w:trPr>
          <w:trHeight w:val="223"/>
        </w:trPr>
        <w:tc>
          <w:tcPr>
            <w:tcW w:w="7420" w:type="dxa"/>
            <w:vAlign w:val="bottom"/>
            <w:gridSpan w:val="2"/>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(21,378)</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20,749</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w w:val="95"/>
              </w:rPr>
              <w:t>The components of the net change in cash, cash equivalents and restricted cash were as follows:</w:t>
            </w: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Details of cash flows from operating activities follow.</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Cash flows from operating activities for the year ended December 31, 2020, primarily reflected:</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800" w:type="dxa"/>
            <w:vAlign w:val="bottom"/>
          </w:tcPr>
          <w:p>
            <w:pPr>
              <w:ind w:left="180"/>
              <w:spacing w:after="0"/>
              <w:rPr>
                <w:sz w:val="20"/>
                <w:szCs w:val="20"/>
                <w:color w:val="auto"/>
              </w:rPr>
            </w:pPr>
            <w:r>
              <w:rPr>
                <w:rFonts w:ascii="Arial" w:cs="Arial" w:eastAsia="Arial" w:hAnsi="Arial"/>
                <w:sz w:val="18"/>
                <w:szCs w:val="18"/>
                <w:color w:val="auto"/>
                <w:w w:val="96"/>
              </w:rPr>
              <w:t>net income of $189.1 million plus adjustments of $40.5 million for non-cash items; and</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800" w:type="dxa"/>
            <w:vAlign w:val="bottom"/>
          </w:tcPr>
          <w:p>
            <w:pPr>
              <w:ind w:left="180"/>
              <w:spacing w:after="0"/>
              <w:rPr>
                <w:sz w:val="20"/>
                <w:szCs w:val="20"/>
                <w:color w:val="auto"/>
              </w:rPr>
            </w:pPr>
            <w:r>
              <w:rPr>
                <w:rFonts w:ascii="Arial" w:cs="Arial" w:eastAsia="Arial" w:hAnsi="Arial"/>
                <w:sz w:val="18"/>
                <w:szCs w:val="18"/>
                <w:color w:val="auto"/>
              </w:rPr>
              <w:t>$50.0 million increase in working capital accounts.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 for the year ended December 31, 2019, primarily reflected: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$7.3 million increase in cash interest payments; and</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Details of cash flows from investing activities follow.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year ended December 31, 2020 primarily reflected:</w:t>
      </w:r>
    </w:p>
    <w:p>
      <w:pPr>
        <w:spacing w:after="0" w:line="117" w:lineRule="exact"/>
        <w:rPr>
          <w:sz w:val="20"/>
          <w:szCs w:val="20"/>
          <w:color w:val="auto"/>
        </w:rPr>
      </w:pPr>
    </w:p>
    <w:p>
      <w:pPr>
        <w:ind w:left="800" w:hanging="401"/>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$99.9 million of investments in our equity method investee; and</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$43.1 million of capital expenditures primarily attributable to the ongoing development of our Williston, DJ, Utica and Permian segments.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year ended December 31, 2019 primarily reflected:</w:t>
      </w:r>
    </w:p>
    <w:p>
      <w:pPr>
        <w:spacing w:after="0" w:line="117" w:lineRule="exact"/>
        <w:rPr>
          <w:sz w:val="20"/>
          <w:szCs w:val="20"/>
          <w:color w:val="auto"/>
        </w:rPr>
      </w:pPr>
    </w:p>
    <w:p>
      <w:pPr>
        <w:ind w:left="800" w:right="60" w:hanging="401"/>
        <w:spacing w:after="0" w:line="255"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$182.3 million of capital expenditures primarily attributable to the ongoing development of the DJ Basin of $80.5 million, Summit Permian of $45.0 million, the Williston Basin of $30.9 million and Corporate and Other, which includes $17.7 million of capital expenditures relating to the Double E Project;</w:t>
      </w:r>
    </w:p>
    <w:p>
      <w:pPr>
        <w:spacing w:after="0" w:line="2" w:lineRule="exact"/>
        <w:rPr>
          <w:rFonts w:ascii="Arial" w:cs="Arial" w:eastAsia="Arial" w:hAnsi="Arial"/>
          <w:sz w:val="18"/>
          <w:szCs w:val="18"/>
          <w:color w:val="auto"/>
        </w:rPr>
      </w:pPr>
    </w:p>
    <w:p>
      <w:pPr>
        <w:ind w:left="800" w:hanging="401"/>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$18.3 million for investments in the Double E joint venture relating to the Double E Project;</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$89.5 million of net proceeds from the Tioga Midstream sale and $12.0 million of proceeds from the Red Rock Gathering sale;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$7.3 million for a distribution from an equity method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Details of cash flows from financing activities follow.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year ended December 31, 2020 primarily reflected:</w:t>
      </w:r>
    </w:p>
    <w:p>
      <w:pPr>
        <w:spacing w:after="0" w:line="117" w:lineRule="exact"/>
        <w:rPr>
          <w:sz w:val="20"/>
          <w:szCs w:val="20"/>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$145.6 million paid for open market repurchases of the 2022 and 2025 Notes;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$47.5 million paid for tender offer of 2022 and 2025 Senior Notes;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$41.8 million for the purchase of common units in the GP Buy-In Transaction;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$35.0 million for the repayment of the ECP Loan;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$26.5 million for cash paid in connection with the TL Restructuring;</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$25.0 million of cash paid for in connection with the Preferred Tender Offer;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$6.3 million of cash repayments on the SMPH Term loan;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$6.0 million of distributions offset by;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$180.0 million of net proceeds from borrowings on our Revolving Credit Facility;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$48.7 million in proceeds from the issuance of our Subsidiary Series A Preferred Units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$35.0 million in proceeds from the ECP Loan.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year ended December 31, 2019 primarily reflected:</w:t>
      </w:r>
    </w:p>
    <w:p>
      <w:pPr>
        <w:spacing w:after="0" w:line="117" w:lineRule="exact"/>
        <w:rPr>
          <w:sz w:val="20"/>
          <w:szCs w:val="20"/>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$218.1 million of distributions;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$211.0 million of net borrowings under our Revolving Credit Facility;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$65.3 million payment on Term Loan B;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$27.4 of net proceeds from the issuance of Subsidiary Series A Preferred Units.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Update</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Partnership's cash flows generated from operations are also the primary source for funding various contractual obligations. The table below summarizes the Partnership's major commitments as of December 31, 2020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2025</w:t>
            </w:r>
          </w:p>
        </w:tc>
      </w:tr>
      <w:tr>
        <w:trPr>
          <w:trHeight w:val="223"/>
        </w:trPr>
        <w:tc>
          <w:tcPr>
            <w:tcW w:w="45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Revolving Credit Facility, due May 2022 </w:t>
            </w:r>
            <w:r>
              <w:rPr>
                <w:rFonts w:ascii="Arial" w:cs="Arial" w:eastAsia="Arial" w:hAnsi="Arial"/>
                <w:sz w:val="15"/>
                <w:szCs w:val="15"/>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892,208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24,853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867,355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4140" w:type="dxa"/>
            <w:vAlign w:val="bottom"/>
          </w:tcPr>
          <w:p>
            <w:pPr>
              <w:ind w:left="20"/>
              <w:spacing w:after="0"/>
              <w:rPr>
                <w:sz w:val="20"/>
                <w:szCs w:val="20"/>
                <w:color w:val="auto"/>
              </w:rPr>
            </w:pPr>
            <w:r>
              <w:rPr>
                <w:rFonts w:ascii="Arial" w:cs="Arial" w:eastAsia="Arial" w:hAnsi="Arial"/>
                <w:sz w:val="18"/>
                <w:szCs w:val="18"/>
                <w:color w:val="auto"/>
              </w:rPr>
              <w:t xml:space="preserve">Senior Notes, due August 2022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255,502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12,873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242,629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00" w:type="dxa"/>
            <w:vAlign w:val="bottom"/>
            <w:shd w:val="clear" w:color="auto" w:fill="CFF0FC"/>
          </w:tcPr>
          <w:p>
            <w:pPr>
              <w:spacing w:after="0"/>
              <w:rPr>
                <w:sz w:val="20"/>
                <w:szCs w:val="20"/>
                <w:color w:val="auto"/>
              </w:rPr>
            </w:pPr>
            <w:r>
              <w:rPr>
                <w:rFonts w:ascii="Arial" w:cs="Arial" w:eastAsia="Arial" w:hAnsi="Arial"/>
                <w:sz w:val="18"/>
                <w:szCs w:val="18"/>
                <w:color w:val="auto"/>
                <w:w w:val="94"/>
              </w:rPr>
              <w:t>2025</w:t>
            </w: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Senior Notes, due April 2025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309,193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14,919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264,436</w:t>
            </w:r>
          </w:p>
        </w:tc>
      </w:tr>
      <w:tr>
        <w:trPr>
          <w:trHeight w:val="215"/>
        </w:trPr>
        <w:tc>
          <w:tcPr>
            <w:tcW w:w="4540" w:type="dxa"/>
            <w:vAlign w:val="bottom"/>
            <w:gridSpan w:val="2"/>
          </w:tcPr>
          <w:p>
            <w:pPr>
              <w:spacing w:after="0"/>
              <w:rPr>
                <w:sz w:val="20"/>
                <w:szCs w:val="20"/>
                <w:color w:val="auto"/>
              </w:rPr>
            </w:pPr>
            <w:r>
              <w:rPr>
                <w:rFonts w:ascii="Arial" w:cs="Arial" w:eastAsia="Arial" w:hAnsi="Arial"/>
                <w:sz w:val="18"/>
                <w:szCs w:val="18"/>
                <w:color w:val="auto"/>
              </w:rPr>
              <w:t>Capital contributions to Double E equity method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40" w:type="dxa"/>
            <w:vAlign w:val="bottom"/>
            <w:gridSpan w:val="2"/>
          </w:tcPr>
          <w:p>
            <w:pPr>
              <w:ind w:left="140"/>
              <w:spacing w:after="0"/>
              <w:rPr>
                <w:sz w:val="20"/>
                <w:szCs w:val="20"/>
                <w:color w:val="auto"/>
              </w:rPr>
            </w:pPr>
            <w:r>
              <w:rPr>
                <w:rFonts w:ascii="Arial" w:cs="Arial" w:eastAsia="Arial" w:hAnsi="Arial"/>
                <w:sz w:val="18"/>
                <w:szCs w:val="18"/>
                <w:color w:val="auto"/>
              </w:rPr>
              <w:t>investment</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172,410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147,710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464</w:t>
            </w:r>
          </w:p>
        </w:tc>
      </w:tr>
      <w:tr>
        <w:trPr>
          <w:trHeight w:val="223"/>
        </w:trPr>
        <w:tc>
          <w:tcPr>
            <w:tcW w:w="4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2"/>
              </w:rPr>
              <w:t>1,635,085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202,760</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1,151,037</w:t>
            </w:r>
          </w:p>
        </w:tc>
        <w:tc>
          <w:tcPr>
            <w:tcW w:w="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15,492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264,900</w:t>
            </w:r>
          </w:p>
        </w:tc>
      </w:tr>
      <w:tr>
        <w:trPr>
          <w:trHeight w:val="20"/>
        </w:trPr>
        <w:tc>
          <w:tcPr>
            <w:tcW w:w="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both"/>
        <w:ind w:left="500" w:hanging="398"/>
        <w:spacing w:after="0" w:line="212" w:lineRule="auto"/>
        <w:tabs>
          <w:tab w:leader="none" w:pos="500" w:val="left"/>
        </w:tabs>
        <w:numPr>
          <w:ilvl w:val="0"/>
          <w:numId w:val="69"/>
        </w:numPr>
        <w:rPr>
          <w:rFonts w:ascii="Arial" w:cs="Arial" w:eastAsia="Arial" w:hAnsi="Arial"/>
          <w:sz w:val="28"/>
          <w:szCs w:val="28"/>
          <w:color w:val="auto"/>
          <w:vertAlign w:val="superscript"/>
        </w:rPr>
      </w:pPr>
      <w:r>
        <w:rPr>
          <w:rFonts w:ascii="Arial" w:cs="Arial" w:eastAsia="Arial" w:hAnsi="Arial"/>
          <w:sz w:val="16"/>
          <w:szCs w:val="16"/>
          <w:color w:val="auto"/>
        </w:rPr>
        <w:t>The Partnership issued a parental guaranty on behalf of its wholly owned subsidiary to fund the subsidiary’s pro rata share of required Double E construction project capital calls. As of December 31, 2020, this amount represents the Partnership's best estimate of its remaining obligation to fund Double E for the construction of the Double E Project.</w:t>
      </w:r>
    </w:p>
    <w:p>
      <w:pPr>
        <w:spacing w:after="0" w:line="1" w:lineRule="exact"/>
        <w:rPr>
          <w:rFonts w:ascii="Arial" w:cs="Arial" w:eastAsia="Arial" w:hAnsi="Arial"/>
          <w:sz w:val="28"/>
          <w:szCs w:val="28"/>
          <w:color w:val="auto"/>
          <w:vertAlign w:val="superscript"/>
        </w:rPr>
      </w:pPr>
    </w:p>
    <w:p>
      <w:pPr>
        <w:ind w:left="500" w:right="80" w:hanging="398"/>
        <w:spacing w:after="0" w:line="192" w:lineRule="auto"/>
        <w:tabs>
          <w:tab w:leader="none" w:pos="500" w:val="left"/>
        </w:tabs>
        <w:numPr>
          <w:ilvl w:val="0"/>
          <w:numId w:val="69"/>
        </w:numPr>
        <w:rPr>
          <w:rFonts w:ascii="Arial" w:cs="Arial" w:eastAsia="Arial" w:hAnsi="Arial"/>
          <w:sz w:val="28"/>
          <w:szCs w:val="28"/>
          <w:color w:val="auto"/>
          <w:vertAlign w:val="superscript"/>
        </w:rPr>
      </w:pPr>
      <w:r>
        <w:rPr>
          <w:rFonts w:ascii="Arial" w:cs="Arial" w:eastAsia="Arial" w:hAnsi="Arial"/>
          <w:sz w:val="16"/>
          <w:szCs w:val="16"/>
          <w:color w:val="auto"/>
        </w:rPr>
        <w:t>For the purposes of calculating future interest payments we assumed no change in balance or rate from December 31, 2020. See Note 9 to the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76" w:lineRule="exact"/>
        <w:rPr>
          <w:sz w:val="20"/>
          <w:szCs w:val="20"/>
          <w:color w:val="auto"/>
        </w:rPr>
      </w:pPr>
    </w:p>
    <w:p>
      <w:pPr>
        <w:ind w:left="800" w:right="20" w:hanging="401"/>
        <w:spacing w:after="0" w:line="255"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2" w:lineRule="exact"/>
        <w:rPr>
          <w:rFonts w:ascii="Arial" w:cs="Arial" w:eastAsia="Arial" w:hAnsi="Arial"/>
          <w:sz w:val="18"/>
          <w:szCs w:val="18"/>
          <w:color w:val="auto"/>
        </w:rPr>
      </w:pPr>
    </w:p>
    <w:p>
      <w:pPr>
        <w:ind w:left="800" w:right="140" w:hanging="401"/>
        <w:spacing w:after="0" w:line="260"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year ended December 31, 2020, cash paid for capital expenditures totaled $43.1 million which included $14.1 million of maintenance capital expenditures. For the year ended December 31, 2020, we contributed $99.9 million to Double E.</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asset divestitures to fund our capital expenditures. We believe that our Revolving Credit Facility, together with internally generated cash flow and access to debt or equity capital markets, will be adequate to finance our business for the next twelve months without adversely impacting our liquidity.</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 the completion of our 60 MMcf/d DJ Basin processing plant and compression expansions in the Permian Basin, capital expenditures began to decline in the third and fourth quarter of 2019 and continued throughout 2020. We will remain disciplined with respect to future capital expenditures, which will be primarily concentrated on the Double E Project and accretive expansions of our existing systems in our Core Focus Areas. We continue to advance our financing plans for our equity interest in Double E, which we intend to be credit positive to Summit. We are currently targeting a financing structure that limits cash payments by us during 2021, and which shifts a substantial majority of our Double E capital commitments to third parties, including commercial banks. On December 24, 2019, we entered into an agreement with TPG to fund up to $80.0 million of Permian Holdco’s future capital calls associated with the Double E Project. For the years ended December 31, 2020 and 2019, Permian Holdco issued 55,251 and 30,000 Subsidiary Series A Preferred Units to TPG for net proceeds of $48.7 million and $27.4 million, respectively.</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estimate that our 2021 capital program will range from $20.0 million to $35.0 million, including approximately $10.0 million of maintenance capital expenditures.</w:t>
      </w:r>
    </w:p>
    <w:p>
      <w:pPr>
        <w:spacing w:after="0" w:line="6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 with third parties; (ii) prevailing conditions and outlook in the natural gas, crude oil and NGL industries and markets and (iii) our ability to obtain financing from commercial banks, the capital markets, or other financing sources.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Counterparty Concentration Risks</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enter into off-balance sheet arrangements and transactions that can give rise to material off-balance sheet obligations. As of December 31, 2020, our material off-balance sheet arrangements and transactions include (i) a parental guaranty issued on behalf of a wholly owned subsidiary to fund the subsidiary’s pro rata share of required Double E Project construction related capital calls, with the wholly owned subsidiary having an estimated $172.4 million of remaining capital calls due for construction based on the Partnership’s best estimate at December 31, 2020, (ii) letters of credit outstanding against our Revolving Credit Facility aggregating to $4.1 million, and (iii) outstanding surety bonds aggregating to $7.1 million. There are no other transactions, arrangements or other relationships with unconsolidated entities or other persons that are reasonably likely to materially affect our liquidity or availability of our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On March 2, 2020, the SEC issued Final Rule Release No. 33-10762, </w:t>
      </w:r>
      <w:r>
        <w:rPr>
          <w:rFonts w:ascii="Arial" w:cs="Arial" w:eastAsia="Arial" w:hAnsi="Arial"/>
          <w:sz w:val="18"/>
          <w:szCs w:val="18"/>
          <w:i w:val="1"/>
          <w:iCs w:val="1"/>
          <w:color w:val="auto"/>
        </w:rPr>
        <w:t>Financial Disclosures about Guarantors and Issuers of Guaranteed Securities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Affiliates Whose Securities Collateralize a Registrant’s Securities </w:t>
      </w:r>
      <w:r>
        <w:rPr>
          <w:rFonts w:ascii="Arial" w:cs="Arial" w:eastAsia="Arial" w:hAnsi="Arial"/>
          <w:sz w:val="18"/>
          <w:szCs w:val="18"/>
          <w:color w:val="auto"/>
        </w:rPr>
        <w:t>(“Release 33-10762”), that amends the disclosure requirements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securities that are guaranteed and those that are collateralized by the securities of an affiliate.</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Release 33-10762, an SEC registrant may continue to omit separate financial statements of subsidiary issuers and guarantors when (1) the subsidiary issuer is consolidated with the parent company and its security is either (a) co-issued jointly and severally with the parent company’s security or (b) the subsidiary issuer’s security is fully and unconditionally guaranteed by the parent company and (2) the parent company provides supplemental financial and non-financial disclosure about the subsidiary issuers and/or guarantors and the guarantees.</w:t>
      </w:r>
    </w:p>
    <w:p>
      <w:pPr>
        <w:spacing w:after="0" w:line="79"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The rules become effective January 4, 2021, with voluntary compliance permitted immediately. The Senior Notes are fully and unconditionally guaranteed, jointly and severally, on a senior unsecured basis by SMLP and the Guarantor Subsidiaries (see Note 9 - Debt). SMLP has concluded that it is eligible to provide Alternative Disclosures under the amended disclosure requirements and has early adopted Release 33-10762.</w:t>
      </w:r>
    </w:p>
    <w:p>
      <w:pPr>
        <w:spacing w:after="0" w:line="5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supplemental summarized financial information below reflects SMLP’s separate accounts, the combined accounts of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Payments to holders of the Senior Notes are affected by the composition of and relationships among the Co-Issuers, the Guarantor Subsidiaries and Non-Guarantor Subsidiaries, who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Summarized Balance Sheet Information. </w:t>
      </w:r>
      <w:r>
        <w:rPr>
          <w:rFonts w:ascii="Arial" w:cs="Arial" w:eastAsia="Arial" w:hAnsi="Arial"/>
          <w:sz w:val="18"/>
          <w:szCs w:val="18"/>
          <w:color w:val="auto"/>
        </w:rPr>
        <w:t>Summarized balance sheet information as of December 31, 2020 and December 31, 2019 follow.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156"/>
              <w:spacing w:after="0"/>
              <w:rPr>
                <w:sz w:val="20"/>
                <w:szCs w:val="20"/>
                <w:color w:val="auto"/>
              </w:rPr>
            </w:pPr>
            <w:r>
              <w:rPr>
                <w:rFonts w:ascii="Arial" w:cs="Arial" w:eastAsia="Arial" w:hAnsi="Arial"/>
                <w:sz w:val="14"/>
                <w:szCs w:val="14"/>
                <w:b w:val="1"/>
                <w:bCs w:val="1"/>
                <w:color w:val="auto"/>
                <w:w w:val="91"/>
              </w:rPr>
              <w:t>December 31, 2020</w:t>
            </w:r>
          </w:p>
        </w:tc>
        <w:tc>
          <w:tcPr>
            <w:tcW w:w="1620" w:type="dxa"/>
            <w:vAlign w:val="bottom"/>
            <w:tcBorders>
              <w:bottom w:val="single" w:sz="8" w:color="auto"/>
            </w:tcBorders>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12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SMLP</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223"/>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1"/>
              </w:rPr>
              <w:t>(In thousands)</w:t>
            </w:r>
          </w:p>
        </w:tc>
        <w:tc>
          <w:tcPr>
            <w:tcW w:w="16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2,265</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78,304</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6,952</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2,277,807</w:t>
            </w:r>
          </w:p>
        </w:tc>
      </w:tr>
      <w:tr>
        <w:trPr>
          <w:trHeight w:val="229"/>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13,339</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50,192</w:t>
            </w: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19,987</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1,398,872</w:t>
            </w:r>
          </w:p>
        </w:tc>
      </w:tr>
      <w:tr>
        <w:trPr>
          <w:trHeight w:val="567"/>
        </w:trPr>
        <w:tc>
          <w:tcPr>
            <w:tcW w:w="69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left="156"/>
              <w:spacing w:after="0"/>
              <w:rPr>
                <w:sz w:val="20"/>
                <w:szCs w:val="20"/>
                <w:color w:val="auto"/>
              </w:rPr>
            </w:pPr>
            <w:r>
              <w:rPr>
                <w:rFonts w:ascii="Arial" w:cs="Arial" w:eastAsia="Arial" w:hAnsi="Arial"/>
                <w:sz w:val="14"/>
                <w:szCs w:val="14"/>
                <w:b w:val="1"/>
                <w:bCs w:val="1"/>
                <w:color w:val="auto"/>
                <w:w w:val="91"/>
              </w:rPr>
              <w:t>December 31, 2019</w:t>
            </w:r>
          </w:p>
        </w:tc>
        <w:tc>
          <w:tcPr>
            <w:tcW w:w="1620" w:type="dxa"/>
            <w:vAlign w:val="bottom"/>
            <w:tcBorders>
              <w:bottom w:val="single" w:sz="8" w:color="auto"/>
            </w:tcBorders>
          </w:tcPr>
          <w:p>
            <w:pPr>
              <w:spacing w:after="0"/>
              <w:rPr>
                <w:sz w:val="24"/>
                <w:szCs w:val="24"/>
                <w:color w:val="auto"/>
              </w:rPr>
            </w:pPr>
          </w:p>
        </w:tc>
      </w:tr>
      <w:tr>
        <w:trPr>
          <w:trHeight w:val="156"/>
        </w:trPr>
        <w:tc>
          <w:tcPr>
            <w:tcW w:w="6900" w:type="dxa"/>
            <w:vAlign w:val="bottom"/>
          </w:tcPr>
          <w:p>
            <w:pPr>
              <w:spacing w:after="0"/>
              <w:rPr>
                <w:sz w:val="13"/>
                <w:szCs w:val="13"/>
                <w:color w:val="auto"/>
              </w:rPr>
            </w:pPr>
          </w:p>
        </w:tc>
        <w:tc>
          <w:tcPr>
            <w:tcW w:w="12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SMLP</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223"/>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1"/>
              </w:rPr>
              <w:t>(In thousands)</w:t>
            </w:r>
          </w:p>
        </w:tc>
        <w:tc>
          <w:tcPr>
            <w:tcW w:w="16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2,311</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109,664</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9,572</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2,389,032</w:t>
            </w:r>
          </w:p>
        </w:tc>
      </w:tr>
      <w:tr>
        <w:trPr>
          <w:trHeight w:val="229"/>
        </w:trPr>
        <w:tc>
          <w:tcPr>
            <w:tcW w:w="6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9,662</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73,877</w:t>
            </w: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184,088</w:t>
            </w:r>
          </w:p>
        </w:tc>
        <w:tc>
          <w:tcPr>
            <w:tcW w:w="6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1,514,250</w:t>
            </w:r>
          </w:p>
        </w:tc>
      </w:tr>
    </w:tbl>
    <w:p>
      <w:pPr>
        <w:spacing w:after="0" w:line="198"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Summarized Statements of Operations Information. </w:t>
      </w:r>
      <w:r>
        <w:rPr>
          <w:rFonts w:ascii="Arial" w:cs="Arial" w:eastAsia="Arial" w:hAnsi="Arial"/>
          <w:sz w:val="16"/>
          <w:szCs w:val="16"/>
          <w:color w:val="auto"/>
        </w:rPr>
        <w:t>For the purposes of the following summarized statements of operations, we allocate a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administrative expenses recognized at the SMLP parent to the Obligor Group to reflect what those entities' results would have been had they operated on a stand-alone basis. Summarized statements of operations for the years ended December 31, 2020 and 2019 follow.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Year ended December 31, 2020</w:t>
            </w:r>
          </w:p>
        </w:tc>
        <w:tc>
          <w:tcPr>
            <w:tcW w:w="860" w:type="dxa"/>
            <w:vAlign w:val="bottom"/>
            <w:tcBorders>
              <w:bottom w:val="single" w:sz="8" w:color="auto"/>
            </w:tcBorders>
          </w:tcPr>
          <w:p>
            <w:pPr>
              <w:spacing w:after="0"/>
              <w:rPr>
                <w:sz w:val="14"/>
                <w:szCs w:val="14"/>
                <w:color w:val="auto"/>
              </w:rPr>
            </w:pPr>
          </w:p>
        </w:tc>
      </w:tr>
      <w:tr>
        <w:trPr>
          <w:trHeight w:val="155"/>
        </w:trPr>
        <w:tc>
          <w:tcPr>
            <w:tcW w:w="5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00"/>
              <w:spacing w:after="0" w:line="155" w:lineRule="exact"/>
              <w:rPr>
                <w:sz w:val="20"/>
                <w:szCs w:val="20"/>
                <w:color w:val="auto"/>
              </w:rPr>
            </w:pPr>
            <w:r>
              <w:rPr>
                <w:rFonts w:ascii="Arial" w:cs="Arial" w:eastAsia="Arial" w:hAnsi="Arial"/>
                <w:sz w:val="14"/>
                <w:szCs w:val="14"/>
                <w:b w:val="1"/>
                <w:bCs w:val="1"/>
                <w:color w:val="auto"/>
              </w:rPr>
              <w:t>SMLP</w:t>
            </w:r>
          </w:p>
        </w:tc>
        <w:tc>
          <w:tcPr>
            <w:tcW w:w="7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Obligor Group</w:t>
            </w:r>
          </w:p>
        </w:tc>
        <w:tc>
          <w:tcPr>
            <w:tcW w:w="860" w:type="dxa"/>
            <w:vAlign w:val="bottom"/>
            <w:tcBorders>
              <w:bottom w:val="single" w:sz="8" w:color="auto"/>
            </w:tcBorders>
          </w:tcPr>
          <w:p>
            <w:pPr>
              <w:spacing w:after="0"/>
              <w:rPr>
                <w:sz w:val="13"/>
                <w:szCs w:val="13"/>
                <w:color w:val="auto"/>
              </w:rPr>
            </w:pPr>
          </w:p>
        </w:tc>
      </w:tr>
      <w:tr>
        <w:trPr>
          <w:trHeight w:val="155"/>
        </w:trPr>
        <w:tc>
          <w:tcPr>
            <w:tcW w:w="5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60" w:type="dxa"/>
            <w:vAlign w:val="bottom"/>
            <w:gridSpan w:val="2"/>
          </w:tcPr>
          <w:p>
            <w:pPr>
              <w:jc w:val="right"/>
              <w:ind w:right="10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383,473</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26,169</w:t>
            </w: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302,989</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 and income from</w:t>
            </w:r>
          </w:p>
        </w:tc>
        <w:tc>
          <w:tcPr>
            <w:tcW w:w="1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equity method investees</w:t>
            </w:r>
          </w:p>
        </w:tc>
        <w:tc>
          <w:tcPr>
            <w:tcW w:w="13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w:t>
            </w:r>
          </w:p>
        </w:tc>
        <w:tc>
          <w:tcPr>
            <w:tcW w:w="7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122,108</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13,073</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(26,016)</w:t>
            </w:r>
          </w:p>
        </w:tc>
        <w:tc>
          <w:tcPr>
            <w:tcW w:w="70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135,181</w:t>
            </w:r>
          </w:p>
        </w:tc>
      </w:tr>
      <w:tr>
        <w:trPr>
          <w:trHeight w:val="567"/>
        </w:trPr>
        <w:tc>
          <w:tcPr>
            <w:tcW w:w="5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 2019</w:t>
            </w:r>
          </w:p>
        </w:tc>
        <w:tc>
          <w:tcPr>
            <w:tcW w:w="860" w:type="dxa"/>
            <w:vAlign w:val="bottom"/>
            <w:tcBorders>
              <w:bottom w:val="single" w:sz="8" w:color="auto"/>
            </w:tcBorders>
          </w:tcPr>
          <w:p>
            <w:pPr>
              <w:spacing w:after="0"/>
              <w:rPr>
                <w:sz w:val="24"/>
                <w:szCs w:val="24"/>
                <w:color w:val="auto"/>
              </w:rPr>
            </w:pPr>
          </w:p>
        </w:tc>
      </w:tr>
      <w:tr>
        <w:trPr>
          <w:trHeight w:val="155"/>
        </w:trPr>
        <w:tc>
          <w:tcPr>
            <w:tcW w:w="5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SMLP</w:t>
            </w:r>
          </w:p>
        </w:tc>
        <w:tc>
          <w:tcPr>
            <w:tcW w:w="7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right"/>
              <w:ind w:right="550"/>
              <w:spacing w:after="0" w:line="155" w:lineRule="exact"/>
              <w:rPr>
                <w:sz w:val="20"/>
                <w:szCs w:val="20"/>
                <w:color w:val="auto"/>
              </w:rPr>
            </w:pPr>
            <w:r>
              <w:rPr>
                <w:rFonts w:ascii="Arial" w:cs="Arial" w:eastAsia="Arial" w:hAnsi="Arial"/>
                <w:sz w:val="14"/>
                <w:szCs w:val="14"/>
                <w:b w:val="1"/>
                <w:bCs w:val="1"/>
                <w:color w:val="auto"/>
              </w:rPr>
              <w:t>Obligor Group</w:t>
            </w:r>
          </w:p>
        </w:tc>
      </w:tr>
      <w:tr>
        <w:trPr>
          <w:trHeight w:val="156"/>
        </w:trPr>
        <w:tc>
          <w:tcPr>
            <w:tcW w:w="5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60" w:type="dxa"/>
            <w:vAlign w:val="bottom"/>
            <w:gridSpan w:val="2"/>
          </w:tcPr>
          <w:p>
            <w:pPr>
              <w:jc w:val="right"/>
              <w:ind w:right="859"/>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443,528</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4,401</w:t>
            </w:r>
          </w:p>
        </w:tc>
        <w:tc>
          <w:tcPr>
            <w:tcW w:w="1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397,939</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and income from</w:t>
            </w:r>
          </w:p>
        </w:tc>
        <w:tc>
          <w:tcPr>
            <w:tcW w:w="1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equity method investees</w:t>
            </w:r>
          </w:p>
        </w:tc>
        <w:tc>
          <w:tcPr>
            <w:tcW w:w="13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8"/>
              </w:rPr>
              <w:t>(1,968)</w:t>
            </w:r>
          </w:p>
        </w:tc>
        <w:tc>
          <w:tcPr>
            <w:tcW w:w="1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(28,840)</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(336,950)</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8"/>
              </w:rPr>
              <w:t>(3,142)</w:t>
            </w:r>
          </w:p>
        </w:tc>
        <w:tc>
          <w:tcPr>
            <w:tcW w:w="1360" w:type="dxa"/>
            <w:vAlign w:val="bottom"/>
            <w:shd w:val="clear" w:color="auto" w:fill="CFF0FC"/>
          </w:tcPr>
          <w:p>
            <w:pPr>
              <w:jc w:val="right"/>
              <w:ind w:right="10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(365,790)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management to make estimates and judgments that affect the amounts of assets,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revenues and expenses and related disclosure of contingent assets and liabilities. We evaluate our estimates on an on-going basis, based on historical experience and on various other assumptions that are believed to be reasonable under the circumstances. Actual results may differ from these estimates under different assumptions or conditions. We believe the following describes significant judgments and estimates used in the preparation of our consolidated financial statements.</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As of December 31, 2020, we had net property, plant and equipment with a carrying value of approximately $1.8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net amortizing intangible assets with a carrying value of approximately $200.0 million. 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would recognize an impairment loss equal to the amount by which the carrying value exceeds the asset's fair value. We determine fair value using a combination of approaches, including a market-based approach and an income-based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spacing w:after="0" w:line="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evaluate our equity method investments for impairment when we believe the current fair value may be less than the carrying amount and record an impairment if we believe the decline in value is other than temporary.</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Adjustments for MVC Shortfall Payments. </w:t>
      </w:r>
      <w:r>
        <w:rPr>
          <w:rFonts w:ascii="Arial" w:cs="Arial" w:eastAsia="Arial" w:hAnsi="Arial"/>
          <w:sz w:val="18"/>
          <w:szCs w:val="18"/>
          <w:color w:val="auto"/>
        </w:rPr>
        <w:t>For our calculation of segment adjusted EBITDA, we estimate the impact of expected MVC shortfall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assumptions that include, but are not limited to, contract terms, historical volume throughput data, and expectations regarding future investment expenditures, customer drilling activities, and customer production volumes.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current interest rate risk exposure is largely related to our indebtedness. As of December 31, 2020, we had $493.5 million principal of fixed-rate Senior Notes and $857.0 million outstanding under our variable rate Revolving Credit Facility.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For the year ended December 31, 2020, a hypothetical 1% increase (decrease) in interest rates would have increased (decreased) our interest expense by approximately $7.7 million assuming no changes in amounts drawn or other variables under our Revolving Credit Facility or Senior Notes.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Williston Basin, Piceance Basin, and Permian Basin segments, (ii) the sale of natural gas we retain from certain Barnett Shale segment customers and (iii) the sale of condensate we retain from certain gathering services in the Piceance Basin segment. Our gathering agreements with certain Barnett Shale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shd w:val="clear" w:color="auto" w:fill="CCEEFF"/>
          </w:tcPr>
          <w:p>
            <w:pPr>
              <w:ind w:left="6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Report of Independent Registered Public Accounting Firm</w:t>
              </w:r>
            </w:hyperlink>
          </w:p>
        </w:tc>
        <w:tc>
          <w:tcPr>
            <w:tcW w:w="6340" w:type="dxa"/>
            <w:vAlign w:val="bottom"/>
            <w:shd w:val="clear" w:color="auto" w:fill="CCEEFF"/>
          </w:tcPr>
          <w:p>
            <w:pPr>
              <w:jc w:val="right"/>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99</w:t>
              </w:r>
            </w:hyperlink>
          </w:p>
        </w:tc>
      </w:tr>
      <w:tr>
        <w:trPr>
          <w:trHeight w:val="108"/>
        </w:trPr>
        <w:tc>
          <w:tcPr>
            <w:tcW w:w="4900" w:type="dxa"/>
            <w:vAlign w:val="bottom"/>
            <w:shd w:val="clear" w:color="auto" w:fill="CCEEFF"/>
          </w:tcPr>
          <w:p>
            <w:pPr>
              <w:spacing w:after="0"/>
              <w:rPr>
                <w:sz w:val="9"/>
                <w:szCs w:val="9"/>
                <w:color w:val="auto"/>
              </w:rPr>
            </w:pPr>
          </w:p>
        </w:tc>
        <w:tc>
          <w:tcPr>
            <w:tcW w:w="6340" w:type="dxa"/>
            <w:vAlign w:val="bottom"/>
            <w:shd w:val="clear" w:color="auto" w:fill="CCEEFF"/>
          </w:tcPr>
          <w:p>
            <w:pPr>
              <w:spacing w:after="0"/>
              <w:rPr>
                <w:sz w:val="9"/>
                <w:szCs w:val="9"/>
                <w:color w:val="auto"/>
              </w:rPr>
            </w:pPr>
          </w:p>
        </w:tc>
      </w:tr>
      <w:tr>
        <w:trPr>
          <w:trHeight w:val="257"/>
        </w:trPr>
        <w:tc>
          <w:tcPr>
            <w:tcW w:w="4900" w:type="dxa"/>
            <w:vAlign w:val="bottom"/>
          </w:tcPr>
          <w:p>
            <w:pPr>
              <w:ind w:left="6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Consolidated Balance Sheets</w:t>
              </w:r>
            </w:hyperlink>
          </w:p>
        </w:tc>
        <w:tc>
          <w:tcPr>
            <w:tcW w:w="634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101</w:t>
              </w:r>
            </w:hyperlink>
          </w:p>
        </w:tc>
      </w:tr>
      <w:tr>
        <w:trPr>
          <w:trHeight w:val="108"/>
        </w:trPr>
        <w:tc>
          <w:tcPr>
            <w:tcW w:w="4900" w:type="dxa"/>
            <w:vAlign w:val="bottom"/>
          </w:tcPr>
          <w:p>
            <w:pPr>
              <w:spacing w:after="0"/>
              <w:rPr>
                <w:sz w:val="9"/>
                <w:szCs w:val="9"/>
                <w:color w:val="auto"/>
              </w:rPr>
            </w:pPr>
          </w:p>
        </w:tc>
        <w:tc>
          <w:tcPr>
            <w:tcW w:w="6340" w:type="dxa"/>
            <w:vAlign w:val="bottom"/>
          </w:tcPr>
          <w:p>
            <w:pPr>
              <w:spacing w:after="0"/>
              <w:rPr>
                <w:sz w:val="9"/>
                <w:szCs w:val="9"/>
                <w:color w:val="auto"/>
              </w:rPr>
            </w:pPr>
          </w:p>
        </w:tc>
      </w:tr>
      <w:tr>
        <w:trPr>
          <w:trHeight w:val="257"/>
        </w:trPr>
        <w:tc>
          <w:tcPr>
            <w:tcW w:w="4900" w:type="dxa"/>
            <w:vAlign w:val="bottom"/>
            <w:shd w:val="clear" w:color="auto" w:fill="CCEEFF"/>
          </w:tcPr>
          <w:p>
            <w:pPr>
              <w:ind w:left="6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Consolidated Statements of Operations</w:t>
              </w:r>
            </w:hyperlink>
          </w:p>
        </w:tc>
        <w:tc>
          <w:tcPr>
            <w:tcW w:w="6340" w:type="dxa"/>
            <w:vAlign w:val="bottom"/>
            <w:shd w:val="clear" w:color="auto" w:fill="CCEEFF"/>
          </w:tcPr>
          <w:p>
            <w:pPr>
              <w:jc w:val="right"/>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102</w:t>
              </w:r>
            </w:hyperlink>
          </w:p>
        </w:tc>
      </w:tr>
      <w:tr>
        <w:trPr>
          <w:trHeight w:val="108"/>
        </w:trPr>
        <w:tc>
          <w:tcPr>
            <w:tcW w:w="4900" w:type="dxa"/>
            <w:vAlign w:val="bottom"/>
            <w:shd w:val="clear" w:color="auto" w:fill="CCEEFF"/>
          </w:tcPr>
          <w:p>
            <w:pPr>
              <w:spacing w:after="0"/>
              <w:rPr>
                <w:sz w:val="9"/>
                <w:szCs w:val="9"/>
                <w:color w:val="auto"/>
              </w:rPr>
            </w:pPr>
          </w:p>
        </w:tc>
        <w:tc>
          <w:tcPr>
            <w:tcW w:w="6340" w:type="dxa"/>
            <w:vAlign w:val="bottom"/>
            <w:shd w:val="clear" w:color="auto" w:fill="CCEEFF"/>
          </w:tcPr>
          <w:p>
            <w:pPr>
              <w:spacing w:after="0"/>
              <w:rPr>
                <w:sz w:val="9"/>
                <w:szCs w:val="9"/>
                <w:color w:val="auto"/>
              </w:rPr>
            </w:pPr>
          </w:p>
        </w:tc>
      </w:tr>
      <w:tr>
        <w:trPr>
          <w:trHeight w:val="257"/>
        </w:trPr>
        <w:tc>
          <w:tcPr>
            <w:tcW w:w="4900" w:type="dxa"/>
            <w:vAlign w:val="bottom"/>
          </w:tcPr>
          <w:p>
            <w:pPr>
              <w:ind w:left="6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Consolidated Statements of Partners' Capital</w:t>
              </w:r>
            </w:hyperlink>
          </w:p>
        </w:tc>
        <w:tc>
          <w:tcPr>
            <w:tcW w:w="6340" w:type="dxa"/>
            <w:vAlign w:val="bottom"/>
          </w:tcPr>
          <w:p>
            <w:pPr>
              <w:jc w:val="right"/>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103</w:t>
              </w:r>
            </w:hyperlink>
          </w:p>
        </w:tc>
      </w:tr>
      <w:tr>
        <w:trPr>
          <w:trHeight w:val="108"/>
        </w:trPr>
        <w:tc>
          <w:tcPr>
            <w:tcW w:w="4900" w:type="dxa"/>
            <w:vAlign w:val="bottom"/>
          </w:tcPr>
          <w:p>
            <w:pPr>
              <w:spacing w:after="0"/>
              <w:rPr>
                <w:sz w:val="9"/>
                <w:szCs w:val="9"/>
                <w:color w:val="auto"/>
              </w:rPr>
            </w:pPr>
          </w:p>
        </w:tc>
        <w:tc>
          <w:tcPr>
            <w:tcW w:w="6340" w:type="dxa"/>
            <w:vAlign w:val="bottom"/>
          </w:tcPr>
          <w:p>
            <w:pPr>
              <w:spacing w:after="0"/>
              <w:rPr>
                <w:sz w:val="9"/>
                <w:szCs w:val="9"/>
                <w:color w:val="auto"/>
              </w:rPr>
            </w:pPr>
          </w:p>
        </w:tc>
      </w:tr>
      <w:tr>
        <w:trPr>
          <w:trHeight w:val="257"/>
        </w:trPr>
        <w:tc>
          <w:tcPr>
            <w:tcW w:w="4900" w:type="dxa"/>
            <w:vAlign w:val="bottom"/>
            <w:shd w:val="clear" w:color="auto" w:fill="CCEEFF"/>
          </w:tcPr>
          <w:p>
            <w:pPr>
              <w:ind w:left="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Consolidated Statements of Cash Flows</w:t>
              </w:r>
            </w:hyperlink>
          </w:p>
        </w:tc>
        <w:tc>
          <w:tcPr>
            <w:tcW w:w="6340" w:type="dxa"/>
            <w:vAlign w:val="bottom"/>
            <w:shd w:val="clear" w:color="auto" w:fill="CCEEFF"/>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104</w:t>
              </w:r>
            </w:hyperlink>
          </w:p>
        </w:tc>
      </w:tr>
      <w:tr>
        <w:trPr>
          <w:trHeight w:val="108"/>
        </w:trPr>
        <w:tc>
          <w:tcPr>
            <w:tcW w:w="4900" w:type="dxa"/>
            <w:vAlign w:val="bottom"/>
            <w:shd w:val="clear" w:color="auto" w:fill="CCEEFF"/>
          </w:tcPr>
          <w:p>
            <w:pPr>
              <w:spacing w:after="0"/>
              <w:rPr>
                <w:sz w:val="9"/>
                <w:szCs w:val="9"/>
                <w:color w:val="auto"/>
              </w:rPr>
            </w:pPr>
          </w:p>
        </w:tc>
        <w:tc>
          <w:tcPr>
            <w:tcW w:w="6340" w:type="dxa"/>
            <w:vAlign w:val="bottom"/>
            <w:shd w:val="clear" w:color="auto" w:fill="CCEEFF"/>
          </w:tcPr>
          <w:p>
            <w:pPr>
              <w:spacing w:after="0"/>
              <w:rPr>
                <w:sz w:val="9"/>
                <w:szCs w:val="9"/>
                <w:color w:val="auto"/>
              </w:rPr>
            </w:pPr>
          </w:p>
        </w:tc>
      </w:tr>
      <w:tr>
        <w:trPr>
          <w:trHeight w:val="257"/>
        </w:trPr>
        <w:tc>
          <w:tcPr>
            <w:tcW w:w="4900" w:type="dxa"/>
            <w:vAlign w:val="bottom"/>
          </w:tcPr>
          <w:p>
            <w:pPr>
              <w:ind w:left="6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Notes to Consolidated Financial Statements</w:t>
              </w:r>
            </w:hyperlink>
          </w:p>
        </w:tc>
        <w:tc>
          <w:tcPr>
            <w:tcW w:w="6340" w:type="dxa"/>
            <w:vAlign w:val="bottom"/>
          </w:tcPr>
          <w:p>
            <w:pPr>
              <w:jc w:val="right"/>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105</w:t>
              </w:r>
            </w:hyperlink>
          </w:p>
        </w:tc>
      </w:tr>
      <w:tr>
        <w:trPr>
          <w:trHeight w:val="783"/>
        </w:trPr>
        <w:tc>
          <w:tcPr>
            <w:tcW w:w="4900" w:type="dxa"/>
            <w:vAlign w:val="bottom"/>
          </w:tcPr>
          <w:p>
            <w:pPr>
              <w:spacing w:after="0"/>
              <w:rPr>
                <w:sz w:val="24"/>
                <w:szCs w:val="24"/>
                <w:color w:val="auto"/>
              </w:rPr>
            </w:pPr>
          </w:p>
        </w:tc>
        <w:tc>
          <w:tcPr>
            <w:tcW w:w="6340" w:type="dxa"/>
            <w:vAlign w:val="bottom"/>
          </w:tcPr>
          <w:p>
            <w:pPr>
              <w:jc w:val="right"/>
              <w:ind w:right="5430"/>
              <w:spacing w:after="0"/>
              <w:rPr>
                <w:sz w:val="20"/>
                <w:szCs w:val="20"/>
                <w:color w:val="auto"/>
              </w:rPr>
            </w:pPr>
            <w:r>
              <w:rPr>
                <w:rFonts w:ascii="Arial" w:cs="Arial" w:eastAsia="Arial" w:hAnsi="Arial"/>
                <w:sz w:val="18"/>
                <w:szCs w:val="18"/>
                <w:color w:val="auto"/>
              </w:rPr>
              <w:t>98</w:t>
            </w:r>
          </w:p>
        </w:tc>
      </w:tr>
      <w:tr>
        <w:trPr>
          <w:trHeight w:val="115"/>
        </w:trPr>
        <w:tc>
          <w:tcPr>
            <w:tcW w:w="490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 Summit Midstream, GP, LLC and the unitholders of Summit Midstream Partners, 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31"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We have audited the accompanying consolidated balance sheets of Summit Midstream Partners, LP and subsidiaries (the "Partnership") as of December 31, 2020 and 2019, the related consolidated statements of operations, partners' capital and cash flows, for the years then ended, and the related notes (collectively referred to as the "financial statements"). In our opinion, based on our audits and the report of the other auditors, the financial statements present fairly, in all material respects, the financial position of the Company as of December 31, 2020 and 2019, and the results of its operations and its cash flows for each of the years then ended in conformity with accounting principles generally accepted in the United States of America.</w:t>
      </w:r>
    </w:p>
    <w:p>
      <w:pPr>
        <w:spacing w:after="0" w:line="6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We did not audit the financial statements of Ohio Gathering Company, L.L.C. (“Ohio Gathering”) as of and for the year ended December 31, 2019, the Partnership’s investment in which is accounted for by use of the equity method. The accompanying financial statements of the Partnership include its equity investment in Ohio Gathering of $275,000,000 as of December 31, 2019, and its loss from equity method investee in Ohio Gathering of $329,736,000 for the year then ended. Those statements were audited by other auditors whose report has been furnished to us, and our opinion, insofar as it relates to the amounts included for Ohio Gathering for 2019, prior to the 2019 impairment loss discussed in Note 7, which was audited by us, is based solely on the report of the other auditors.</w:t>
      </w:r>
    </w:p>
    <w:p>
      <w:pPr>
        <w:spacing w:after="0" w:line="8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Partnership's internal control over financial reporting as of December 31, 2020, based on criteria established in Internal Control — Integrated Framework (2013) issued by the Committee of Sponsoring Organizations of the Treadway Commission and our report dated March 4, 2021 expressed an unqualified opinion on the Partnership's internal control over financial reporting.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ind w:right="60"/>
        <w:spacing w:after="0" w:line="335" w:lineRule="auto"/>
        <w:rPr>
          <w:sz w:val="20"/>
          <w:szCs w:val="20"/>
          <w:color w:val="auto"/>
        </w:rPr>
      </w:pPr>
      <w:r>
        <w:rPr>
          <w:rFonts w:ascii="Arial" w:cs="Arial" w:eastAsia="Arial" w:hAnsi="Arial"/>
          <w:sz w:val="14"/>
          <w:szCs w:val="14"/>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41"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3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82" w:lineRule="exact"/>
        <w:rPr>
          <w:sz w:val="20"/>
          <w:szCs w:val="20"/>
          <w:color w:val="auto"/>
        </w:rPr>
      </w:pPr>
    </w:p>
    <w:p>
      <w:pPr>
        <w:ind w:right="5140"/>
        <w:spacing w:after="0" w:line="405" w:lineRule="auto"/>
        <w:rPr>
          <w:sz w:val="20"/>
          <w:szCs w:val="20"/>
          <w:color w:val="auto"/>
        </w:rPr>
      </w:pPr>
      <w:r>
        <w:rPr>
          <w:rFonts w:ascii="Arial" w:cs="Arial" w:eastAsia="Arial" w:hAnsi="Arial"/>
          <w:sz w:val="16"/>
          <w:szCs w:val="16"/>
          <w:b w:val="1"/>
          <w:bCs w:val="1"/>
          <w:i w:val="1"/>
          <w:iCs w:val="1"/>
          <w:color w:val="auto"/>
        </w:rPr>
        <w:t xml:space="preserve">GP Buy-In Transaction — Refer to Notes 1 and 14 to the financial statements </w:t>
      </w:r>
      <w:r>
        <w:rPr>
          <w:rFonts w:ascii="Arial" w:cs="Arial" w:eastAsia="Arial" w:hAnsi="Arial"/>
          <w:sz w:val="16"/>
          <w:szCs w:val="16"/>
          <w:i w:val="1"/>
          <w:iCs w:val="1"/>
          <w:color w:val="auto"/>
        </w:rPr>
        <w:t>Critical Audit Matter Description</w:t>
      </w:r>
    </w:p>
    <w:p>
      <w:pPr>
        <w:ind w:right="20"/>
        <w:spacing w:after="0" w:line="293" w:lineRule="auto"/>
        <w:rPr>
          <w:sz w:val="20"/>
          <w:szCs w:val="20"/>
          <w:color w:val="auto"/>
        </w:rPr>
      </w:pPr>
      <w:r>
        <w:rPr>
          <w:rFonts w:ascii="Arial" w:cs="Arial" w:eastAsia="Arial" w:hAnsi="Arial"/>
          <w:sz w:val="15"/>
          <w:szCs w:val="15"/>
          <w:color w:val="auto"/>
        </w:rPr>
        <w:t>As described in Note 1 to the consolidated financial statements, on May 28, 2020, the transactions contemplated by the Purchase Agreement (the “GP Buy-In Transaction”) closed. As a result of the GP Buy-In Transaction, the Partnership now indirectly owns its General Partner, Summit Midstream Partners LLC (“Summit Investments”). Under GAAP, the GP Buy-In Transaction was deemed a transaction among entities under common control with a change in reporting entity. Although the Partnership is the surviving entity for legal purposes, Summit Investments is the surviving entity for accounting purposes; therefore, the historical financial results included herein prior to the GP Buy-In Transaction are those of Summit Investments.</w:t>
      </w:r>
    </w:p>
    <w:p>
      <w:pPr>
        <w:spacing w:after="0" w:line="6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identified the GP Buy-In Transaction as a significant and unusual transaction and as a critical audit matter because of the significant audit effort necessary to perform procedures and evaluate the audit evidence obtained relating to management’s accounting for the GP Buy-In Transaction due to the pervasive nature of the GP Buy-In Transaction on the composition of the Partnership’s consolidated financial statements and disclosures, including judgements necessary to combine legacy Summit Investments into the Partnership.</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247" w:right="1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evaluating the accounting treatment of the GP Buy-in Transaction included the following, among others:</w:t>
      </w:r>
    </w:p>
    <w:p>
      <w:pPr>
        <w:spacing w:after="0" w:line="127" w:lineRule="exact"/>
        <w:rPr>
          <w:sz w:val="20"/>
          <w:szCs w:val="20"/>
          <w:color w:val="auto"/>
        </w:rPr>
      </w:pPr>
    </w:p>
    <w:p>
      <w:pPr>
        <w:ind w:left="800" w:right="300" w:hanging="401"/>
        <w:spacing w:after="0" w:line="27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tested the effectiveness of controls over the Partnership’s accounting for significant unusual transactions, including management’s controls over the identification and application of relevant GAAP, and over the combination and presentation of the historical carrying amounts in the consolidated financial statements.</w:t>
      </w:r>
    </w:p>
    <w:p>
      <w:pPr>
        <w:spacing w:after="0" w:line="76" w:lineRule="exact"/>
        <w:rPr>
          <w:rFonts w:ascii="Arial" w:cs="Arial" w:eastAsia="Arial" w:hAnsi="Arial"/>
          <w:sz w:val="16"/>
          <w:szCs w:val="16"/>
          <w:color w:val="auto"/>
        </w:rPr>
      </w:pPr>
    </w:p>
    <w:p>
      <w:pPr>
        <w:jc w:val="both"/>
        <w:ind w:left="800" w:right="120" w:hanging="401"/>
        <w:spacing w:after="0" w:line="305" w:lineRule="auto"/>
        <w:tabs>
          <w:tab w:leader="none" w:pos="8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read the GP Buy-In Transaction agreements and evaluated the reasonableness of management’s assessment of the accounting associated with the transaction between entities under common control and the completeness and accuracy of the consolidated financial statements, including the retrospective consolidation of Summit Investments within the Partnership’s consolidated financial statements.</w:t>
      </w:r>
    </w:p>
    <w:p>
      <w:pPr>
        <w:spacing w:after="0" w:line="57" w:lineRule="exact"/>
        <w:rPr>
          <w:rFonts w:ascii="Arial" w:cs="Arial" w:eastAsia="Arial" w:hAnsi="Arial"/>
          <w:sz w:val="15"/>
          <w:szCs w:val="15"/>
          <w:color w:val="auto"/>
        </w:rPr>
      </w:pPr>
    </w:p>
    <w:p>
      <w:pPr>
        <w:ind w:left="800" w:hanging="401"/>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evaluated the sufficiency of the disclosures in the consolidated financial statements of the Partnership with respect to this matter.</w:t>
      </w:r>
    </w:p>
    <w:p>
      <w:pPr>
        <w:spacing w:after="0" w:line="127" w:lineRule="exact"/>
        <w:rPr>
          <w:sz w:val="20"/>
          <w:szCs w:val="20"/>
          <w:color w:val="auto"/>
        </w:rPr>
      </w:pPr>
    </w:p>
    <w:p>
      <w:pPr>
        <w:ind w:right="2680"/>
        <w:spacing w:after="0" w:line="405" w:lineRule="auto"/>
        <w:rPr>
          <w:sz w:val="20"/>
          <w:szCs w:val="20"/>
          <w:color w:val="auto"/>
        </w:rPr>
      </w:pPr>
      <w:r>
        <w:rPr>
          <w:rFonts w:ascii="Arial" w:cs="Arial" w:eastAsia="Arial" w:hAnsi="Arial"/>
          <w:sz w:val="16"/>
          <w:szCs w:val="16"/>
          <w:b w:val="1"/>
          <w:bCs w:val="1"/>
          <w:i w:val="1"/>
          <w:iCs w:val="1"/>
          <w:color w:val="auto"/>
        </w:rPr>
        <w:t xml:space="preserve">Commitments and Contingencies — Environmental Matters — Refer to Notes 2 and 11 to the financial statements </w:t>
      </w:r>
      <w:r>
        <w:rPr>
          <w:rFonts w:ascii="Arial" w:cs="Arial" w:eastAsia="Arial" w:hAnsi="Arial"/>
          <w:sz w:val="16"/>
          <w:szCs w:val="16"/>
          <w:i w:val="1"/>
          <w:iCs w:val="1"/>
          <w:color w:val="auto"/>
        </w:rPr>
        <w:t>Critical Audit Matter Description</w:t>
      </w:r>
    </w:p>
    <w:p>
      <w:pPr>
        <w:jc w:val="both"/>
        <w:ind w:right="60"/>
        <w:spacing w:after="0" w:line="303" w:lineRule="auto"/>
        <w:rPr>
          <w:sz w:val="20"/>
          <w:szCs w:val="20"/>
          <w:color w:val="auto"/>
        </w:rPr>
      </w:pPr>
      <w:r>
        <w:rPr>
          <w:rFonts w:ascii="Arial" w:cs="Arial" w:eastAsia="Arial" w:hAnsi="Arial"/>
          <w:sz w:val="14"/>
          <w:szCs w:val="14"/>
          <w:color w:val="auto"/>
        </w:rPr>
        <w:t>In 2015, the Partnership learned of the rupture of a four-inch produced water gathering pipeline on the Meadowlark Midstream Company, LLC (“Meadowlark Midstream”) system near Williston, North Dakota (“Meadowlark Rupture”). The U.S. Department of Justice (“DOJ”) issued grand jury subpoenas to Summit Investments, the Partnership, the Partnership’s General Partner and Meadowlark Midstream requesting certain materials related to the Meadowlark Rupture.</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Meadowlark Midstream and Summit Investments received a complaint from the North Dakota Industrial Commission seeking fines and other fees related to the incident, and this matter is also under investigation by the U.S. Environmental Protection Agency, the North Dakota Office of the Attorney General, the North Dakota Department of Environmental Quality, and the North Dakota Game and Fish Department. Discussions with the DOJ and other agencies regarding a resolution of this matter are ongoing. Liability for this incident could arise under civil and misdemeanor and felony criminal statutes, including the Clean Water Act.</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When required, the Partnership records accruals for loss contingencies in accordance with FASB ASC 450, Contingencies. Such determinations are subject to interpretations of current facts and circumstances, forecasts of future events and estimates of the financial impacts of such events. As of December 31, 2020, the Partnership has accrued a $17.0 million loss contingency for this matter. While the Partnership believes a loss for claims and/or actions arising from the Meadowlark Rupture, whether in a negotiated settlement or as a result of litigation, is probable, due to the complexity of resolving the numerous issues surrounding this matter, at this time the Partnership cannot reasonably predict whether any actual loss, if incurred, would be materially higher or lower than the accrued amount.</w:t>
      </w:r>
    </w:p>
    <w:p>
      <w:pPr>
        <w:spacing w:after="0" w:line="8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We identified the accrued loss contingency for the Meadowlark Rupture as a critical audit matter because of the challenges of auditing management’s judgments applied in determining the accrued loss contingency as of December 31, 2020. Specifically, auditing management’s interpretations of the current facts and circumstances, forecasts of future events and estimates of the financial impacts of such events is subjective and requires significant judgment due to the complexity of resolving the numerous issues surrounding this matter.</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evaluating the accrued loss contingency for the Meadowlark Rupture included the following, among others:</w:t>
      </w:r>
    </w:p>
    <w:p>
      <w:pPr>
        <w:spacing w:after="0" w:line="127" w:lineRule="exact"/>
        <w:rPr>
          <w:sz w:val="20"/>
          <w:szCs w:val="20"/>
          <w:color w:val="auto"/>
        </w:rPr>
      </w:pPr>
    </w:p>
    <w:p>
      <w:pPr>
        <w:ind w:left="800" w:right="260" w:hanging="401"/>
        <w:spacing w:after="0" w:line="328" w:lineRule="auto"/>
        <w:tabs>
          <w:tab w:leader="none" w:pos="8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evaluated management’s analysis of claims and/or actions arising from the Meadowlark Rupture, read Board of Directors meeting minutes, including relevant sub-committee meeting minutes, and compared to responses from internal and external counsel.</w:t>
      </w:r>
    </w:p>
    <w:p>
      <w:pPr>
        <w:spacing w:after="0" w:line="41" w:lineRule="exact"/>
        <w:rPr>
          <w:rFonts w:ascii="Arial" w:cs="Arial" w:eastAsia="Arial" w:hAnsi="Arial"/>
          <w:sz w:val="15"/>
          <w:szCs w:val="15"/>
          <w:color w:val="auto"/>
        </w:rPr>
      </w:pPr>
    </w:p>
    <w:p>
      <w:pPr>
        <w:ind w:left="800" w:right="500" w:hanging="401"/>
        <w:spacing w:after="0" w:line="293"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obtained letters from the Partnership’s internal and external legal counsel as it relates to potential claims and/or actions arising from the Meadowlark Rupture.</w:t>
      </w:r>
    </w:p>
    <w:p>
      <w:pPr>
        <w:spacing w:after="0" w:line="63" w:lineRule="exact"/>
        <w:rPr>
          <w:rFonts w:ascii="Arial" w:cs="Arial" w:eastAsia="Arial" w:hAnsi="Arial"/>
          <w:sz w:val="16"/>
          <w:szCs w:val="16"/>
          <w:color w:val="auto"/>
        </w:rPr>
      </w:pPr>
    </w:p>
    <w:p>
      <w:pPr>
        <w:ind w:left="800" w:right="820" w:hanging="401"/>
        <w:spacing w:after="0" w:line="293"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evaluated any events subsequent to December 31, 2020, that might impact our evaluation of claims and/or actions arising from the Meadowlark Rupture, including any related accrual or disclosure.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March 4,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Partnership's auditor since 2009.</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320" w:top="247" w:right="1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r>
      <w:tr>
        <w:trPr>
          <w:trHeight w:val="155"/>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60" w:type="dxa"/>
            <w:vAlign w:val="bottom"/>
            <w:gridSpan w:val="4"/>
          </w:tcPr>
          <w:p>
            <w:pPr>
              <w:jc w:val="right"/>
              <w:ind w:right="711"/>
              <w:spacing w:after="0" w:line="155" w:lineRule="exact"/>
              <w:rPr>
                <w:sz w:val="20"/>
                <w:szCs w:val="20"/>
                <w:color w:val="auto"/>
              </w:rPr>
            </w:pPr>
            <w:r>
              <w:rPr>
                <w:rFonts w:ascii="Arial" w:cs="Arial" w:eastAsia="Arial" w:hAnsi="Arial"/>
                <w:sz w:val="14"/>
                <w:szCs w:val="14"/>
                <w:b w:val="1"/>
                <w:bCs w:val="1"/>
                <w:color w:val="auto"/>
              </w:rPr>
              <w:t>(In thousands, except unit amounts)</w:t>
            </w:r>
          </w:p>
        </w:tc>
      </w:tr>
      <w:tr>
        <w:trPr>
          <w:trHeight w:val="230"/>
        </w:trPr>
        <w:tc>
          <w:tcPr>
            <w:tcW w:w="754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15,544</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9,530</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27,392</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61,932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97,418</w:t>
            </w: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4,623</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5,521</w:t>
            </w: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82,099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139,861</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1,817,546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1,882,489</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199,566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232,278</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392,740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309,728</w:t>
            </w: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7,866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9,742</w:t>
            </w:r>
          </w:p>
        </w:tc>
      </w:tr>
      <w:tr>
        <w:trPr>
          <w:trHeight w:val="223"/>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2,499,817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2,574,098</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7540" w:type="dxa"/>
            <w:vAlign w:val="bottom"/>
            <w:shd w:val="clear" w:color="auto" w:fill="CFF0FC"/>
          </w:tcPr>
          <w:p>
            <w:pPr>
              <w:ind w:left="2480"/>
              <w:spacing w:after="0"/>
              <w:rPr>
                <w:sz w:val="20"/>
                <w:szCs w:val="20"/>
                <w:color w:val="auto"/>
              </w:rPr>
            </w:pPr>
            <w:r>
              <w:rPr>
                <w:rFonts w:ascii="Arial" w:cs="Arial" w:eastAsia="Arial" w:hAnsi="Arial"/>
                <w:sz w:val="18"/>
                <w:szCs w:val="18"/>
                <w:b w:val="1"/>
                <w:bCs w:val="1"/>
                <w:color w:val="auto"/>
              </w:rPr>
              <w:t>LIABILITIES AND CAPITAL</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11,878</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24,415</w:t>
            </w: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13,036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11,339</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9,988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13,493</w:t>
            </w: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 valorem taxes payable</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9,086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8,477</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9,658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8,719</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8,007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12,346</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Accrued environmental remediation</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1,725</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5,363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3,487</w:t>
            </w:r>
          </w:p>
        </w:tc>
      </w:tr>
      <w:tr>
        <w:trPr>
          <w:trHeight w:val="230"/>
        </w:trPr>
        <w:tc>
          <w:tcPr>
            <w:tcW w:w="75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SMPH term loan</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5,546</w:t>
            </w:r>
          </w:p>
        </w:tc>
      </w:tr>
      <w:tr>
        <w:trPr>
          <w:trHeight w:val="223"/>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68,408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89,547</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1,347,326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1,622,279</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revenue</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48,250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38,709</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Noncurrent accrued environmental remediation</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2,926</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21,747</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7,951</w:t>
            </w:r>
          </w:p>
        </w:tc>
      </w:tr>
      <w:tr>
        <w:trPr>
          <w:trHeight w:val="223"/>
        </w:trPr>
        <w:tc>
          <w:tcPr>
            <w:tcW w:w="75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1,487,268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1,761,412</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Mezzanine Capital</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w w:val="92"/>
              </w:rPr>
              <w:t>Subsidiary Series A Preferred Units (55,251 and 30,058 units issued and outstanding at December 31,</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2020 and December 31, 2019, respectively)</w:t>
            </w:r>
          </w:p>
        </w:tc>
        <w:tc>
          <w:tcPr>
            <w:tcW w:w="2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89,658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27,450</w:t>
            </w:r>
          </w:p>
        </w:tc>
      </w:tr>
      <w:tr>
        <w:trPr>
          <w:trHeight w:val="230"/>
        </w:trPr>
        <w:tc>
          <w:tcPr>
            <w:tcW w:w="7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5"/>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w w:val="95"/>
              </w:rPr>
              <w:t>Series A Preferred Units (162,109 and 300,000 units issued and outstanding at December 31, 2020</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and December 31, 2019, respectively)</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174,425</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293,616</w:t>
            </w: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w w:val="93"/>
              </w:rPr>
              <w:t>Common limited partner capital (6,110,092 and 3,021,258 units issued and outstanding at December</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31, 2020 and December 31, 2019, respectively)</w:t>
            </w:r>
          </w:p>
        </w:tc>
        <w:tc>
          <w:tcPr>
            <w:tcW w:w="24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748,466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305,550</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186,070</w:t>
            </w:r>
          </w:p>
        </w:tc>
      </w:tr>
      <w:tr>
        <w:trPr>
          <w:trHeight w:val="223"/>
        </w:trPr>
        <w:tc>
          <w:tcPr>
            <w:tcW w:w="75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922,891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785,236</w:t>
            </w:r>
          </w:p>
        </w:tc>
      </w:tr>
      <w:tr>
        <w:trPr>
          <w:trHeight w:val="223"/>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CAPITAL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2,499,817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2,574,098</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w w:val="91"/>
              </w:rPr>
              <w:t>Year ended December 31,</w:t>
            </w:r>
          </w:p>
        </w:tc>
      </w:tr>
      <w:tr>
        <w:trPr>
          <w:trHeight w:val="155"/>
        </w:trPr>
        <w:tc>
          <w:tcPr>
            <w:tcW w:w="6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156"/>
        </w:trPr>
        <w:tc>
          <w:tcPr>
            <w:tcW w:w="6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20" w:type="dxa"/>
            <w:vAlign w:val="bottom"/>
            <w:gridSpan w:val="5"/>
          </w:tcPr>
          <w:p>
            <w:pPr>
              <w:jc w:val="right"/>
              <w:ind w:right="551"/>
              <w:spacing w:after="0" w:line="155" w:lineRule="exact"/>
              <w:rPr>
                <w:sz w:val="20"/>
                <w:szCs w:val="20"/>
                <w:color w:val="auto"/>
              </w:rPr>
            </w:pPr>
            <w:r>
              <w:rPr>
                <w:rFonts w:ascii="Arial" w:cs="Arial" w:eastAsia="Arial" w:hAnsi="Arial"/>
                <w:sz w:val="14"/>
                <w:szCs w:val="14"/>
                <w:b w:val="1"/>
                <w:bCs w:val="1"/>
                <w:color w:val="auto"/>
              </w:rPr>
              <w:t>(In thousands, except per-unit amount)</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3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302,792</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326,747</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49,319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86,994</w:t>
            </w:r>
          </w:p>
        </w:tc>
      </w:tr>
      <w:tr>
        <w:trPr>
          <w:trHeight w:val="229"/>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31,362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29,787</w:t>
            </w:r>
          </w:p>
        </w:tc>
      </w:tr>
      <w:tr>
        <w:trPr>
          <w:trHeight w:val="223"/>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4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383,473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443,528</w:t>
            </w: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36,653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63,438</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86,030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98,719</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73,438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55,947</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118,132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110,354</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3,017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13,089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60,507</w:t>
            </w:r>
          </w:p>
        </w:tc>
      </w:tr>
      <w:tr>
        <w:trPr>
          <w:trHeight w:val="229"/>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impairment</w:t>
            </w:r>
          </w:p>
        </w:tc>
        <w:tc>
          <w:tcPr>
            <w:tcW w:w="1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16,211</w:t>
            </w:r>
          </w:p>
        </w:tc>
      </w:tr>
      <w:tr>
        <w:trPr>
          <w:trHeight w:val="223"/>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4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330,028</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406,657</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Other income</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451</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(91,966)</w:t>
            </w:r>
          </w:p>
        </w:tc>
      </w:tr>
      <w:tr>
        <w:trPr>
          <w:trHeight w:val="229"/>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early extinguishment of debt</w:t>
            </w:r>
          </w:p>
        </w:tc>
        <w:tc>
          <w:tcPr>
            <w:tcW w:w="1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203,062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 and</w:t>
            </w:r>
          </w:p>
        </w:tc>
        <w:tc>
          <w:tcPr>
            <w:tcW w:w="1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6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 method investment income (loss)</w:t>
            </w:r>
          </w:p>
        </w:tc>
        <w:tc>
          <w:tcPr>
            <w:tcW w:w="1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177,661</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(54,644)</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equity method investees</w:t>
            </w:r>
          </w:p>
        </w:tc>
        <w:tc>
          <w:tcPr>
            <w:tcW w:w="14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11,271</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(337,851)</w:t>
            </w:r>
          </w:p>
        </w:tc>
      </w:tr>
      <w:tr>
        <w:trPr>
          <w:trHeight w:val="263"/>
        </w:trPr>
        <w:tc>
          <w:tcPr>
            <w:tcW w:w="62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w:t>
            </w:r>
          </w:p>
        </w:tc>
        <w:tc>
          <w:tcPr>
            <w:tcW w:w="146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189,078</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(393,726)</w:t>
            </w: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w:t>
            </w:r>
          </w:p>
        </w:tc>
        <w:tc>
          <w:tcPr>
            <w:tcW w:w="1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6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 (loss) attributable to noncontrolling interest</w:t>
            </w:r>
          </w:p>
        </w:tc>
        <w:tc>
          <w:tcPr>
            <w:tcW w:w="1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(209,275)</w:t>
            </w:r>
          </w:p>
        </w:tc>
      </w:tr>
      <w:tr>
        <w:trPr>
          <w:trHeight w:val="223"/>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limited partners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192,352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(184,451)</w:t>
            </w: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26,529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28,500</w:t>
            </w:r>
          </w:p>
        </w:tc>
      </w:tr>
      <w:tr>
        <w:trPr>
          <w:trHeight w:val="230"/>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13,498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58</w:t>
            </w:r>
          </w:p>
        </w:tc>
      </w:tr>
      <w:tr>
        <w:trPr>
          <w:trHeight w:val="230"/>
        </w:trPr>
        <w:tc>
          <w:tcPr>
            <w:tcW w:w="626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Deemed contribution from preferred unit exchange and purchase</w:t>
            </w:r>
          </w:p>
        </w:tc>
        <w:tc>
          <w:tcPr>
            <w:tcW w:w="14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110,669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63"/>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146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262,994</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(213,009)</w:t>
            </w:r>
          </w:p>
        </w:tc>
      </w:tr>
      <w:tr>
        <w:trPr>
          <w:trHeight w:val="210"/>
        </w:trPr>
        <w:tc>
          <w:tcPr>
            <w:tcW w:w="6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b w:val="1"/>
                <w:bCs w:val="1"/>
                <w:color w:val="auto"/>
              </w:rPr>
              <w:t>Net income (Loss) per limited partner unit:</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basic</w:t>
            </w:r>
          </w:p>
        </w:tc>
        <w:tc>
          <w:tcPr>
            <w:tcW w:w="236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73.22</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23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71.19</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(70.50)</w:t>
            </w:r>
          </w:p>
        </w:tc>
      </w:tr>
      <w:tr>
        <w:trPr>
          <w:trHeight w:val="230"/>
        </w:trPr>
        <w:tc>
          <w:tcPr>
            <w:tcW w:w="6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basic</w:t>
            </w:r>
          </w:p>
        </w:tc>
        <w:tc>
          <w:tcPr>
            <w:tcW w:w="1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3,021</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Common units – diluted</w:t>
            </w: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3,694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3,021</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PARTNERS' CAPITAL</w:t>
      </w:r>
    </w:p>
    <w:p>
      <w:pPr>
        <w:spacing w:after="0" w:line="9" w:lineRule="exact"/>
        <w:rPr>
          <w:sz w:val="20"/>
          <w:szCs w:val="20"/>
          <w:color w:val="auto"/>
        </w:rPr>
      </w:pPr>
    </w:p>
    <w:tbl>
      <w:tblPr>
        <w:tblLayout w:type="fixed"/>
        <w:tblInd w:w="3780" w:type="dxa"/>
        <w:tblCellMar>
          <w:top w:w="0" w:type="dxa"/>
          <w:left w:w="0" w:type="dxa"/>
          <w:bottom w:w="0" w:type="dxa"/>
          <w:right w:w="0" w:type="dxa"/>
        </w:tblCellMar>
      </w:tblPr>
      <w:tr>
        <w:trPr>
          <w:trHeight w:val="234"/>
        </w:trPr>
        <w:tc>
          <w:tcPr>
            <w:tcW w:w="3040" w:type="dxa"/>
            <w:vAlign w:val="bottom"/>
            <w:gridSpan w:val="3"/>
          </w:tcPr>
          <w:p>
            <w:pPr>
              <w:ind w:left="500"/>
              <w:spacing w:after="0"/>
              <w:rPr>
                <w:sz w:val="20"/>
                <w:szCs w:val="20"/>
                <w:color w:val="auto"/>
              </w:rPr>
            </w:pPr>
            <w:r>
              <w:rPr>
                <w:rFonts w:ascii="Arial" w:cs="Arial" w:eastAsia="Arial" w:hAnsi="Arial"/>
                <w:sz w:val="18"/>
                <w:szCs w:val="18"/>
                <w:b w:val="1"/>
                <w:bCs w:val="1"/>
                <w:color w:val="auto"/>
              </w:rPr>
              <w:t>Noncontrolling Interest</w:t>
            </w:r>
          </w:p>
        </w:tc>
        <w:tc>
          <w:tcPr>
            <w:tcW w:w="288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Partners' Capital</w:t>
            </w:r>
          </w:p>
        </w:tc>
        <w:tc>
          <w:tcPr>
            <w:tcW w:w="1540" w:type="dxa"/>
            <w:vAlign w:val="bottom"/>
          </w:tcPr>
          <w:p>
            <w:pPr>
              <w:spacing w:after="0"/>
              <w:rPr>
                <w:sz w:val="20"/>
                <w:szCs w:val="20"/>
                <w:color w:val="auto"/>
              </w:rPr>
            </w:pPr>
          </w:p>
        </w:tc>
      </w:tr>
      <w:tr>
        <w:trPr>
          <w:trHeight w:val="205"/>
        </w:trPr>
        <w:tc>
          <w:tcPr>
            <w:tcW w:w="14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Series A</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Noncontrolling</w:t>
            </w: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Series A</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Partners'</w:t>
            </w:r>
          </w:p>
        </w:tc>
        <w:tc>
          <w:tcPr>
            <w:tcW w:w="154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Preferred Units</w:t>
            </w: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1"/>
              </w:rPr>
              <w:t xml:space="preserve">Interests </w:t>
            </w:r>
            <w:r>
              <w:rPr>
                <w:rFonts w:ascii="Arial" w:cs="Arial" w:eastAsia="Arial" w:hAnsi="Arial"/>
                <w:sz w:val="15"/>
                <w:szCs w:val="15"/>
                <w:b w:val="1"/>
                <w:bCs w:val="1"/>
                <w:color w:val="auto"/>
                <w:w w:val="91"/>
              </w:rPr>
              <w:t>(1)</w:t>
            </w: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Preferred Units</w:t>
            </w: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Total</w:t>
            </w:r>
          </w:p>
        </w:tc>
      </w:tr>
      <w:tr>
        <w:trPr>
          <w:trHeight w:val="228"/>
        </w:trPr>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(In thousands)</w:t>
            </w: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-2540</wp:posOffset>
            </wp:positionV>
            <wp:extent cx="47320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Partners' capital, December 31, 2018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293,616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28,500</w:t>
            </w:r>
          </w:p>
        </w:tc>
        <w:tc>
          <w:tcPr>
            <w:tcW w:w="24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cash distributions SMLP unitholders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(28,500)</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cash distributions to Energy Capital</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Partners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Unit-based compensation</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Effect of common unit issuances under</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SMLP LTIP</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payments on vested SMLP</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LTIP awards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Conversion of noncontrolling interest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related to cancellation of subsidiary</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incentive distribution rights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Conversion of noncontrolling interest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related to partial cancellation of</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subsidiary of payable</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b w:val="1"/>
                <w:bCs w:val="1"/>
                <w:color w:val="auto"/>
              </w:rPr>
              <w:t>Partners' capital, December 31, 2019</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293,616</w:t>
            </w:r>
          </w:p>
        </w:tc>
        <w:tc>
          <w:tcPr>
            <w:tcW w:w="240" w:type="dxa"/>
            <w:vAlign w:val="bottom"/>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11,875</w:t>
            </w:r>
          </w:p>
        </w:tc>
        <w:tc>
          <w:tcPr>
            <w:tcW w:w="24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Unit-based compensation</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payments on vested SMLP</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LTIP awards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Tax withholdings on Series A Preferred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Unit Exchange</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cash distribution to SMLP</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unitholders</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Effect of common issuances under</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SMLP LTIP</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GP-Buy-In Transaction assumption of</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noncontrolling interest in SMLP</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(305,491)</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Repurchase of common units under</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GP Buy-In Transaction</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Common unit issuance due to</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TL Restructuring</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Effect of Exchange Offer and Preferred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Tender</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r>
        <w:trPr>
          <w:trHeight w:val="224"/>
        </w:trPr>
        <w:tc>
          <w:tcPr>
            <w:tcW w:w="3780" w:type="dxa"/>
            <w:vAlign w:val="bottom"/>
          </w:tcPr>
          <w:p>
            <w:pPr>
              <w:spacing w:after="0"/>
              <w:rPr>
                <w:sz w:val="20"/>
                <w:szCs w:val="20"/>
                <w:color w:val="auto"/>
              </w:rPr>
            </w:pPr>
            <w:r>
              <w:rPr>
                <w:rFonts w:ascii="Arial" w:cs="Arial" w:eastAsia="Arial" w:hAnsi="Arial"/>
                <w:sz w:val="18"/>
                <w:szCs w:val="18"/>
                <w:b w:val="1"/>
                <w:bCs w:val="1"/>
                <w:color w:val="auto"/>
              </w:rPr>
              <w:t>Partners' capital December 31, 2020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-5408930</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-5117465</wp:posOffset>
            </wp:positionV>
            <wp:extent cx="7132320" cy="283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-4688840</wp:posOffset>
            </wp:positionV>
            <wp:extent cx="7132320" cy="283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-3985895</wp:posOffset>
            </wp:positionV>
            <wp:extent cx="7132320" cy="419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-2846070</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132320" cy="283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13232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132320" cy="282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282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-3145790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95"/>
              </w:rPr>
              <w:t>554,472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   $</w:t>
            </w:r>
          </w:p>
        </w:tc>
      </w:tr>
      <w:tr>
        <w:trPr>
          <w:trHeight w:val="229"/>
        </w:trPr>
        <w:tc>
          <w:tcPr>
            <w:tcW w:w="900" w:type="dxa"/>
            <w:vAlign w:val="bottom"/>
          </w:tcPr>
          <w:p>
            <w:pPr>
              <w:jc w:val="right"/>
              <w:ind w:right="110"/>
              <w:spacing w:after="0"/>
              <w:rPr>
                <w:sz w:val="20"/>
                <w:szCs w:val="20"/>
                <w:color w:val="auto"/>
              </w:rPr>
            </w:pPr>
            <w:r>
              <w:rPr>
                <w:rFonts w:ascii="Arial" w:cs="Arial" w:eastAsia="Arial" w:hAnsi="Arial"/>
                <w:sz w:val="18"/>
                <w:szCs w:val="18"/>
                <w:color w:val="auto"/>
                <w:w w:val="88"/>
              </w:rPr>
              <w:t>(209,275)</w:t>
            </w:r>
          </w:p>
        </w:tc>
        <w:tc>
          <w:tcPr>
            <w:tcW w:w="3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(68,874)</w:t>
            </w:r>
          </w:p>
        </w:tc>
        <w:tc>
          <w:tcPr>
            <w:tcW w:w="3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8,171</w:t>
            </w:r>
          </w:p>
        </w:tc>
        <w:tc>
          <w:tcPr>
            <w:tcW w:w="3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2,664</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662"/>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(2,614)</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662"/>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(48,203)</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661"/>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(50,271)</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22"/>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95"/>
              </w:rPr>
              <w:t>186,070</w:t>
            </w: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29"/>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(3,274)</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14,654</w:t>
            </w:r>
          </w:p>
        </w:tc>
        <w:tc>
          <w:tcPr>
            <w:tcW w:w="240" w:type="dxa"/>
            <w:vAlign w:val="bottom"/>
          </w:tcPr>
          <w:p>
            <w:pPr>
              <w:spacing w:after="0"/>
              <w:rPr>
                <w:sz w:val="19"/>
                <w:szCs w:val="19"/>
                <w:color w:val="auto"/>
              </w:rPr>
            </w:pPr>
          </w:p>
        </w:tc>
      </w:t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4,054</w:t>
            </w:r>
          </w:p>
        </w:tc>
        <w:tc>
          <w:tcPr>
            <w:tcW w:w="3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662"/>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10"/>
              <w:spacing w:after="0"/>
              <w:rPr>
                <w:sz w:val="20"/>
                <w:szCs w:val="20"/>
                <w:color w:val="auto"/>
              </w:rPr>
            </w:pPr>
            <w:r>
              <w:rPr>
                <w:rFonts w:ascii="Arial" w:cs="Arial" w:eastAsia="Arial" w:hAnsi="Arial"/>
                <w:sz w:val="18"/>
                <w:szCs w:val="18"/>
                <w:color w:val="auto"/>
              </w:rPr>
              <w:t>(6,037)</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2,322</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5"/>
        </w:trPr>
        <w:tc>
          <w:tcPr>
            <w:tcW w:w="900" w:type="dxa"/>
            <w:vAlign w:val="bottom"/>
          </w:tcPr>
          <w:p>
            <w:pPr>
              <w:jc w:val="right"/>
              <w:ind w:right="110"/>
              <w:spacing w:after="0"/>
              <w:rPr>
                <w:sz w:val="20"/>
                <w:szCs w:val="20"/>
                <w:color w:val="auto"/>
              </w:rPr>
            </w:pPr>
            <w:r>
              <w:rPr>
                <w:rFonts w:ascii="Arial" w:cs="Arial" w:eastAsia="Arial" w:hAnsi="Arial"/>
                <w:sz w:val="18"/>
                <w:szCs w:val="18"/>
                <w:color w:val="auto"/>
                <w:w w:val="88"/>
              </w:rPr>
              <w:t>(182,117)</w:t>
            </w:r>
          </w:p>
        </w:tc>
        <w:tc>
          <w:tcPr>
            <w:tcW w:w="3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305,491</w:t>
            </w:r>
          </w:p>
        </w:tc>
        <w:tc>
          <w:tcPr>
            <w:tcW w:w="240" w:type="dxa"/>
            <w:vAlign w:val="bottom"/>
          </w:tcPr>
          <w:p>
            <w:pPr>
              <w:spacing w:after="0"/>
              <w:rPr>
                <w:sz w:val="24"/>
                <w:szCs w:val="24"/>
                <w:color w:val="auto"/>
              </w:rPr>
            </w:pPr>
          </w:p>
        </w:tc>
      </w:tr>
      <w:tr>
        <w:trPr>
          <w:trHeight w:val="445"/>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446"/>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(145,720)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$174,425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31750</wp:posOffset>
            </wp:positionV>
            <wp:extent cx="1834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880" w:val="left"/>
          <w:tab w:leader="none" w:pos="1420" w:val="left"/>
        </w:tabs>
        <w:rPr>
          <w:sz w:val="20"/>
          <w:szCs w:val="20"/>
          <w:color w:val="auto"/>
        </w:rPr>
      </w:pPr>
      <w:r>
        <w:rPr>
          <w:rFonts w:ascii="Arial" w:cs="Arial" w:eastAsia="Arial" w:hAnsi="Arial"/>
          <w:sz w:val="18"/>
          <w:szCs w:val="18"/>
          <w:color w:val="auto"/>
        </w:rPr>
        <w:t>543,479</w:t>
        <w:tab/>
        <w:t>$</w:t>
      </w:r>
      <w:r>
        <w:rPr>
          <w:sz w:val="20"/>
          <w:szCs w:val="20"/>
          <w:color w:val="auto"/>
        </w:rPr>
        <w:tab/>
      </w:r>
      <w:r>
        <w:rPr>
          <w:rFonts w:ascii="Arial" w:cs="Arial" w:eastAsia="Arial" w:hAnsi="Arial"/>
          <w:sz w:val="16"/>
          <w:szCs w:val="16"/>
          <w:color w:val="auto"/>
        </w:rPr>
        <w:t>1,391,567</w:t>
      </w:r>
    </w:p>
    <w:p>
      <w:pPr>
        <w:spacing w:after="0" w:line="2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(213,009)</w:t>
      </w:r>
      <w:r>
        <w:rPr>
          <w:sz w:val="20"/>
          <w:szCs w:val="20"/>
          <w:color w:val="auto"/>
        </w:rPr>
        <w:tab/>
      </w:r>
      <w:r>
        <w:rPr>
          <w:rFonts w:ascii="Arial" w:cs="Arial" w:eastAsia="Arial" w:hAnsi="Arial"/>
          <w:sz w:val="18"/>
          <w:szCs w:val="18"/>
          <w:color w:val="auto"/>
        </w:rPr>
        <w:t>(393,784)</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(97,374)</w:t>
      </w:r>
    </w:p>
    <w:p>
      <w:pPr>
        <w:spacing w:after="0" w:line="238"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(120,730)</w:t>
      </w:r>
      <w:r>
        <w:rPr>
          <w:sz w:val="20"/>
          <w:szCs w:val="20"/>
          <w:color w:val="auto"/>
        </w:rPr>
        <w:tab/>
      </w:r>
      <w:r>
        <w:rPr>
          <w:rFonts w:ascii="Arial" w:cs="Arial" w:eastAsia="Arial" w:hAnsi="Arial"/>
          <w:sz w:val="18"/>
          <w:szCs w:val="18"/>
          <w:color w:val="auto"/>
        </w:rPr>
        <w:t>(120,730)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8,171</w:t>
      </w:r>
    </w:p>
    <w:p>
      <w:pPr>
        <w:spacing w:after="0" w:line="238"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8"/>
          <w:szCs w:val="18"/>
          <w:color w:val="auto"/>
        </w:rPr>
        <w:t>(2,664)</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(2,614)</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48,203—</w:t>
      </w:r>
    </w:p>
    <w:p>
      <w:pPr>
        <w:spacing w:after="0" w:line="200" w:lineRule="exact"/>
        <w:rPr>
          <w:sz w:val="20"/>
          <w:szCs w:val="20"/>
          <w:color w:val="auto"/>
        </w:rPr>
      </w:pPr>
    </w:p>
    <w:p>
      <w:pPr>
        <w:spacing w:after="0" w:line="255" w:lineRule="exact"/>
        <w:rPr>
          <w:sz w:val="20"/>
          <w:szCs w:val="20"/>
          <w:color w:val="auto"/>
        </w:rPr>
      </w:pPr>
    </w:p>
    <w:p>
      <w:pPr>
        <w:ind w:left="140"/>
        <w:spacing w:after="0"/>
        <w:tabs>
          <w:tab w:leader="none" w:pos="1960" w:val="left"/>
        </w:tabs>
        <w:rPr>
          <w:sz w:val="20"/>
          <w:szCs w:val="20"/>
          <w:color w:val="auto"/>
        </w:rPr>
      </w:pPr>
      <w:r>
        <w:rPr>
          <w:rFonts w:ascii="Arial" w:cs="Arial" w:eastAsia="Arial" w:hAnsi="Arial"/>
          <w:sz w:val="18"/>
          <w:szCs w:val="18"/>
          <w:color w:val="auto"/>
        </w:rPr>
        <w:t>50,271</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18"/>
          <w:szCs w:val="18"/>
          <w:color w:val="auto"/>
        </w:rPr>
        <w:t>305,550</w:t>
      </w:r>
      <w:r>
        <w:rPr>
          <w:sz w:val="20"/>
          <w:szCs w:val="20"/>
          <w:color w:val="auto"/>
        </w:rPr>
        <w:tab/>
      </w:r>
      <w:r>
        <w:rPr>
          <w:rFonts w:ascii="Arial" w:cs="Arial" w:eastAsia="Arial" w:hAnsi="Arial"/>
          <w:sz w:val="18"/>
          <w:szCs w:val="18"/>
          <w:color w:val="auto"/>
        </w:rPr>
        <w:t>785,236</w:t>
      </w:r>
    </w:p>
    <w:p>
      <w:pPr>
        <w:spacing w:after="0" w:line="23"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18"/>
          <w:szCs w:val="18"/>
          <w:color w:val="auto"/>
        </w:rPr>
        <w:t>152,325</w:t>
      </w:r>
      <w:r>
        <w:rPr>
          <w:sz w:val="20"/>
          <w:szCs w:val="20"/>
          <w:color w:val="auto"/>
        </w:rPr>
        <w:tab/>
      </w:r>
      <w:r>
        <w:rPr>
          <w:rFonts w:ascii="Arial" w:cs="Arial" w:eastAsia="Arial" w:hAnsi="Arial"/>
          <w:sz w:val="18"/>
          <w:szCs w:val="18"/>
          <w:color w:val="auto"/>
        </w:rPr>
        <w:t>175,580</w:t>
      </w:r>
    </w:p>
    <w:p>
      <w:pPr>
        <w:spacing w:after="0" w:line="23" w:lineRule="exact"/>
        <w:rPr>
          <w:sz w:val="20"/>
          <w:szCs w:val="20"/>
          <w:color w:val="auto"/>
        </w:rPr>
      </w:pPr>
    </w:p>
    <w:p>
      <w:pPr>
        <w:ind w:left="240"/>
        <w:spacing w:after="0"/>
        <w:tabs>
          <w:tab w:leader="none" w:pos="1760" w:val="left"/>
        </w:tabs>
        <w:rPr>
          <w:sz w:val="20"/>
          <w:szCs w:val="20"/>
          <w:color w:val="auto"/>
        </w:rPr>
      </w:pPr>
      <w:r>
        <w:rPr>
          <w:rFonts w:ascii="Arial" w:cs="Arial" w:eastAsia="Arial" w:hAnsi="Arial"/>
          <w:sz w:val="18"/>
          <w:szCs w:val="18"/>
          <w:color w:val="auto"/>
        </w:rPr>
        <w:t>4,057</w:t>
      </w:r>
      <w:r>
        <w:rPr>
          <w:sz w:val="20"/>
          <w:szCs w:val="20"/>
          <w:color w:val="auto"/>
        </w:rPr>
        <w:tab/>
      </w:r>
      <w:r>
        <w:rPr>
          <w:rFonts w:ascii="Arial" w:cs="Arial" w:eastAsia="Arial" w:hAnsi="Arial"/>
          <w:sz w:val="18"/>
          <w:szCs w:val="18"/>
          <w:color w:val="auto"/>
        </w:rPr>
        <w:t>8,111</w:t>
      </w:r>
    </w:p>
    <w:p>
      <w:pPr>
        <w:spacing w:after="0" w:line="200" w:lineRule="exact"/>
        <w:rPr>
          <w:sz w:val="20"/>
          <w:szCs w:val="20"/>
          <w:color w:val="auto"/>
        </w:rPr>
      </w:pPr>
    </w:p>
    <w:p>
      <w:pPr>
        <w:spacing w:after="0" w:line="254" w:lineRule="exact"/>
        <w:rPr>
          <w:sz w:val="20"/>
          <w:szCs w:val="20"/>
          <w:color w:val="auto"/>
        </w:rPr>
      </w:pPr>
    </w:p>
    <w:p>
      <w:pPr>
        <w:ind w:left="1700" w:hanging="1390"/>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(1,456)</w:t>
      </w:r>
    </w:p>
    <w:p>
      <w:pPr>
        <w:spacing w:after="0" w:line="239" w:lineRule="exact"/>
        <w:rPr>
          <w:sz w:val="20"/>
          <w:szCs w:val="20"/>
          <w:color w:val="auto"/>
        </w:rPr>
      </w:pPr>
    </w:p>
    <w:p>
      <w:pPr>
        <w:ind w:left="1840" w:hanging="1530"/>
        <w:spacing w:after="0"/>
        <w:tabs>
          <w:tab w:leader="none" w:pos="1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(237)</w:t>
      </w:r>
    </w:p>
    <w:p>
      <w:pPr>
        <w:spacing w:after="0" w:line="23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(6,037)</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(2,322)</w:t>
            </w:r>
          </w:p>
        </w:tc>
        <w:tc>
          <w:tcPr>
            <w:tcW w:w="3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45"/>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182,117</w:t>
            </w: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45"/>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5"/>
              </w:rPr>
              <w:t>(44,078)</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(44,078)</w:t>
            </w:r>
          </w:p>
        </w:tc>
      </w:tr>
      <w:tr>
        <w:trPr>
          <w:trHeight w:val="446"/>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30,521</w:t>
            </w:r>
          </w:p>
        </w:tc>
        <w:tc>
          <w:tcPr>
            <w:tcW w:w="3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30,521</w:t>
            </w:r>
          </w:p>
        </w:tc>
      </w:tr>
      <w:tr>
        <w:trPr>
          <w:trHeight w:val="445"/>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120,720</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251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251</w:t>
            </w:r>
          </w:p>
        </w:tc>
      </w:tr>
      <w:tr>
        <w:trPr>
          <w:trHeight w:val="224"/>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748,466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922,891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16510</wp:posOffset>
            </wp:positionV>
            <wp:extent cx="18516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3">
            <w:col w:w="5400" w:space="520"/>
            <w:col w:w="2500" w:space="520"/>
            <w:col w:w="2300"/>
          </w:cols>
          <w:pgMar w:left="320" w:top="247" w:right="339" w:bottom="1440" w:gutter="0" w:footer="0" w:header="0"/>
          <w:type w:val="continuous"/>
        </w:sectPr>
      </w:pPr>
    </w:p>
    <w:p>
      <w:pPr>
        <w:ind w:right="20" w:firstLine="8"/>
        <w:spacing w:after="0" w:line="237" w:lineRule="auto"/>
        <w:tabs>
          <w:tab w:leader="none" w:pos="195"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Prior to the GP Buy-in Transaction, common noncontrolling interests reported by Summit Investments included equity interests in SMLP that were not owned by Summit Investments.</w:t>
      </w:r>
    </w:p>
    <w:p>
      <w:pPr>
        <w:ind w:left="220" w:hanging="212"/>
        <w:spacing w:after="0"/>
        <w:tabs>
          <w:tab w:leader="none" w:pos="220" w:val="left"/>
        </w:tabs>
        <w:numPr>
          <w:ilvl w:val="0"/>
          <w:numId w:val="79"/>
        </w:numPr>
        <w:rPr>
          <w:rFonts w:ascii="Arial" w:cs="Arial" w:eastAsia="Arial" w:hAnsi="Arial"/>
          <w:sz w:val="15"/>
          <w:szCs w:val="15"/>
          <w:color w:val="auto"/>
        </w:rPr>
      </w:pPr>
      <w:r>
        <w:rPr>
          <w:rFonts w:ascii="Arial" w:cs="Arial" w:eastAsia="Arial" w:hAnsi="Arial"/>
          <w:sz w:val="16"/>
          <w:szCs w:val="16"/>
          <w:color w:val="auto"/>
        </w:rPr>
        <w:t>Includes deemed contributions of $54.9 million and $55.7 million related to the Exchange Offer and Tender Offer,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Borders>
              <w:bottom w:val="single" w:sz="8" w:color="auto"/>
            </w:tcBorders>
          </w:tcPr>
          <w:p>
            <w:pPr>
              <w:spacing w:after="0"/>
              <w:rPr>
                <w:sz w:val="14"/>
                <w:szCs w:val="14"/>
                <w:color w:val="auto"/>
              </w:rPr>
            </w:pPr>
          </w:p>
        </w:tc>
      </w:tr>
      <w:tr>
        <w:trPr>
          <w:trHeight w:val="156"/>
        </w:trPr>
        <w:tc>
          <w:tcPr>
            <w:tcW w:w="5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r>
      <w:tr>
        <w:trPr>
          <w:trHeight w:val="156"/>
        </w:trPr>
        <w:tc>
          <w:tcPr>
            <w:tcW w:w="5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20" w:type="dxa"/>
            <w:vAlign w:val="bottom"/>
            <w:gridSpan w:val="3"/>
          </w:tcPr>
          <w:p>
            <w:pPr>
              <w:jc w:val="right"/>
              <w:ind w:right="629"/>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r>
      <w:tr>
        <w:trPr>
          <w:trHeight w:val="162"/>
        </w:trPr>
        <w:tc>
          <w:tcPr>
            <w:tcW w:w="5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Net income (loss)</w:t>
            </w:r>
          </w:p>
        </w:tc>
        <w:tc>
          <w:tcPr>
            <w:tcW w:w="2700" w:type="dxa"/>
            <w:vAlign w:val="bottom"/>
            <w:gridSpan w:val="2"/>
          </w:tcPr>
          <w:p>
            <w:pPr>
              <w:jc w:val="right"/>
              <w:ind w:right="77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189,078</w:t>
            </w:r>
          </w:p>
        </w:tc>
        <w:tc>
          <w:tcPr>
            <w:tcW w:w="1160" w:type="dxa"/>
            <w:vAlign w:val="bottom"/>
            <w:gridSpan w:val="2"/>
          </w:tcPr>
          <w:p>
            <w:pPr>
              <w:jc w:val="right"/>
              <w:ind w:right="8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(393,726)</w:t>
            </w:r>
          </w:p>
        </w:tc>
      </w:tr>
      <w:tr>
        <w:trPr>
          <w:trHeight w:val="139"/>
        </w:trPr>
        <w:tc>
          <w:tcPr>
            <w:tcW w:w="592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Adjustments to reconcile net income (loss) to net</w:t>
            </w:r>
          </w:p>
        </w:tc>
        <w:tc>
          <w:tcPr>
            <w:tcW w:w="18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71"/>
        </w:trPr>
        <w:tc>
          <w:tcPr>
            <w:tcW w:w="5920" w:type="dxa"/>
            <w:vAlign w:val="bottom"/>
            <w:shd w:val="clear" w:color="auto" w:fill="CFF0FC"/>
          </w:tcPr>
          <w:p>
            <w:pPr>
              <w:ind w:left="160"/>
              <w:spacing w:after="0"/>
              <w:rPr>
                <w:sz w:val="20"/>
                <w:szCs w:val="20"/>
                <w:color w:val="auto"/>
              </w:rPr>
            </w:pPr>
            <w:r>
              <w:rPr>
                <w:rFonts w:ascii="Arial" w:cs="Arial" w:eastAsia="Arial" w:hAnsi="Arial"/>
                <w:sz w:val="14"/>
                <w:szCs w:val="14"/>
                <w:b w:val="1"/>
                <w:bCs w:val="1"/>
                <w:color w:val="auto"/>
              </w:rPr>
              <w:t>cash provided by operating activities: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119,070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111,574</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Noncash lease expense</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3,242</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3,086</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6,608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6,313</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Unit-based and noncash compensation</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8,111</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8,171</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(Income) loss from equity method investees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(11,271)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337,851</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28,185</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37,300</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Gain on asset sales, net</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(1,536)</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Gain on early extinguishment of debt</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(206,975)</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Gain on fair value of warrants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Settlement of interest rate derivative</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Long-lived asset impairment</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13,089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60,507</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Goodwill impairment</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16,211</w:t>
            </w:r>
          </w:p>
        </w:tc>
      </w:tr>
      <w:tr>
        <w:trPr>
          <w:trHeight w:val="162"/>
        </w:trPr>
        <w:tc>
          <w:tcPr>
            <w:tcW w:w="592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Accounts receivable</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35,352</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(5,466)</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Trade accounts payable</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(4,063)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Accrued expenses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2,841</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(10,572)</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Deferred revenue, net</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6,036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1,683</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 valorem taxes payable</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609</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(1,525)</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(3,343)</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Accrued environmental remediation, net</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(1,152)</w:t>
            </w:r>
          </w:p>
        </w:tc>
      </w:tr>
      <w:tr>
        <w:trPr>
          <w:trHeight w:val="162"/>
        </w:trPr>
        <w:tc>
          <w:tcPr>
            <w:tcW w:w="59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Other, net</w:t>
            </w:r>
          </w:p>
        </w:tc>
        <w:tc>
          <w:tcPr>
            <w:tcW w:w="18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14,582</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(6,889)</w:t>
            </w:r>
          </w:p>
        </w:tc>
      </w:tr>
      <w:tr>
        <w:trPr>
          <w:trHeight w:val="156"/>
        </w:trPr>
        <w:tc>
          <w:tcPr>
            <w:tcW w:w="59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80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198,589</w:t>
            </w:r>
          </w:p>
        </w:tc>
        <w:tc>
          <w:tcPr>
            <w:tcW w:w="18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161,741</w:t>
            </w:r>
          </w:p>
        </w:tc>
      </w:tr>
      <w:tr>
        <w:trPr>
          <w:trHeight w:val="155"/>
        </w:trPr>
        <w:tc>
          <w:tcPr>
            <w:tcW w:w="59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Capital expenditures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(43,128)</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(182,291)</w:t>
            </w:r>
          </w:p>
        </w:tc>
      </w:tr>
      <w:tr>
        <w:trPr>
          <w:trHeight w:val="143"/>
        </w:trPr>
        <w:tc>
          <w:tcPr>
            <w:tcW w:w="5920" w:type="dxa"/>
            <w:vAlign w:val="bottom"/>
          </w:tcPr>
          <w:p>
            <w:pPr>
              <w:ind w:left="140"/>
              <w:spacing w:after="0" w:line="143" w:lineRule="exact"/>
              <w:rPr>
                <w:sz w:val="20"/>
                <w:szCs w:val="20"/>
                <w:color w:val="auto"/>
              </w:rPr>
            </w:pPr>
            <w:r>
              <w:rPr>
                <w:rFonts w:ascii="Arial" w:cs="Arial" w:eastAsia="Arial" w:hAnsi="Arial"/>
                <w:sz w:val="14"/>
                <w:szCs w:val="14"/>
                <w:color w:val="auto"/>
              </w:rPr>
              <w:t>Proceeds from asset sale (net of cash of $1,475 for the year ended</w:t>
            </w: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5920" w:type="dxa"/>
            <w:vAlign w:val="bottom"/>
          </w:tcPr>
          <w:p>
            <w:pPr>
              <w:ind w:left="240"/>
              <w:spacing w:after="0"/>
              <w:rPr>
                <w:sz w:val="20"/>
                <w:szCs w:val="20"/>
                <w:color w:val="auto"/>
              </w:rPr>
            </w:pPr>
            <w:r>
              <w:rPr>
                <w:rFonts w:ascii="Arial" w:cs="Arial" w:eastAsia="Arial" w:hAnsi="Arial"/>
                <w:sz w:val="14"/>
                <w:szCs w:val="14"/>
                <w:color w:val="auto"/>
              </w:rPr>
              <w:t>December 31, 2019)</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102,111</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Distribution from equity method investment</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7,313</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(99,927)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(18,316)</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net</w:t>
            </w:r>
          </w:p>
        </w:tc>
        <w:tc>
          <w:tcPr>
            <w:tcW w:w="18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2,486</w:t>
            </w:r>
          </w:p>
        </w:tc>
        <w:tc>
          <w:tcPr>
            <w:tcW w:w="18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313</w:t>
            </w:r>
          </w:p>
        </w:tc>
      </w:tr>
      <w:tr>
        <w:trPr>
          <w:trHeight w:val="155"/>
        </w:trPr>
        <w:tc>
          <w:tcPr>
            <w:tcW w:w="59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used in investing activities</w:t>
            </w:r>
          </w:p>
        </w:tc>
        <w:tc>
          <w:tcPr>
            <w:tcW w:w="1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(140,569)</w:t>
            </w:r>
          </w:p>
        </w:tc>
        <w:tc>
          <w:tcPr>
            <w:tcW w:w="1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(90,870)</w:t>
            </w:r>
          </w:p>
        </w:tc>
      </w:tr>
      <w:tr>
        <w:trPr>
          <w:trHeight w:val="155"/>
        </w:trPr>
        <w:tc>
          <w:tcPr>
            <w:tcW w:w="59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8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Net cash distributions to noncontrolling interest SMLP unitholders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(6,037)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(68,874)</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Series A Preferred Unit distributions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(28,500)</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Net cash distributions to Energy Capital Partners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(120,730)</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Borrowings under Revolving Credit Facility</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249,300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369,000</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(69,300)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(158,000)</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Transaction costs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(4,221)</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Repayments on SMPH Term Loan before TL Restructuring</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(6,300)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(65,250)</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Open Market Repurchases of 2022 and 2025 Senior Notes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(145,567)</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Tender Offers of 2022 and 2025 Senior Notes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(47,530)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TL Restructuring</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43"/>
        </w:trPr>
        <w:tc>
          <w:tcPr>
            <w:tcW w:w="5920" w:type="dxa"/>
            <w:vAlign w:val="bottom"/>
          </w:tcPr>
          <w:p>
            <w:pPr>
              <w:ind w:left="140"/>
              <w:spacing w:after="0" w:line="143" w:lineRule="exact"/>
              <w:rPr>
                <w:sz w:val="20"/>
                <w:szCs w:val="20"/>
                <w:color w:val="auto"/>
              </w:rPr>
            </w:pPr>
            <w:r>
              <w:rPr>
                <w:rFonts w:ascii="Arial" w:cs="Arial" w:eastAsia="Arial" w:hAnsi="Arial"/>
                <w:sz w:val="14"/>
                <w:szCs w:val="14"/>
                <w:color w:val="auto"/>
              </w:rPr>
              <w:t>Proceeds from issuance of Subsidiary Series A preferred units, net of</w:t>
            </w: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5920" w:type="dxa"/>
            <w:vAlign w:val="bottom"/>
          </w:tcPr>
          <w:p>
            <w:pPr>
              <w:ind w:left="240"/>
              <w:spacing w:after="0"/>
              <w:rPr>
                <w:sz w:val="20"/>
                <w:szCs w:val="20"/>
                <w:color w:val="auto"/>
              </w:rPr>
            </w:pPr>
            <w:r>
              <w:rPr>
                <w:rFonts w:ascii="Arial" w:cs="Arial" w:eastAsia="Arial" w:hAnsi="Arial"/>
                <w:sz w:val="14"/>
                <w:szCs w:val="14"/>
                <w:color w:val="auto"/>
              </w:rPr>
              <w:t>issuance costs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48,710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27,392</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Preferred Tender</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Borrowings under ECP Loans</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Repayment of ECP Loans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Purchase of common units in GP Buy-In Transaction</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(41,778)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Debt issuance costs</w:t>
            </w:r>
          </w:p>
        </w:tc>
        <w:tc>
          <w:tcPr>
            <w:tcW w:w="18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(2,558)</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(673)</w:t>
            </w:r>
          </w:p>
        </w:tc>
      </w:tr>
      <w:tr>
        <w:trPr>
          <w:trHeight w:val="162"/>
        </w:trPr>
        <w:tc>
          <w:tcPr>
            <w:tcW w:w="5920" w:type="dxa"/>
            <w:vAlign w:val="bottom"/>
          </w:tcPr>
          <w:p>
            <w:pPr>
              <w:ind w:left="140"/>
              <w:spacing w:after="0"/>
              <w:rPr>
                <w:sz w:val="20"/>
                <w:szCs w:val="20"/>
                <w:color w:val="auto"/>
              </w:rPr>
            </w:pPr>
            <w:r>
              <w:rPr>
                <w:rFonts w:ascii="Arial" w:cs="Arial" w:eastAsia="Arial" w:hAnsi="Arial"/>
                <w:sz w:val="14"/>
                <w:szCs w:val="14"/>
                <w:color w:val="auto"/>
              </w:rPr>
              <w:t>Proceeds from asset sale</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59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net</w:t>
            </w:r>
          </w:p>
        </w:tc>
        <w:tc>
          <w:tcPr>
            <w:tcW w:w="18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(2,905)</w:t>
            </w:r>
          </w:p>
        </w:tc>
        <w:tc>
          <w:tcPr>
            <w:tcW w:w="18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(4,487)</w:t>
            </w:r>
          </w:p>
        </w:tc>
      </w:tr>
      <w:tr>
        <w:trPr>
          <w:trHeight w:val="155"/>
        </w:trPr>
        <w:tc>
          <w:tcPr>
            <w:tcW w:w="59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used in financing activities</w:t>
            </w:r>
          </w:p>
        </w:tc>
        <w:tc>
          <w:tcPr>
            <w:tcW w:w="1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(79,398)</w:t>
            </w:r>
          </w:p>
        </w:tc>
        <w:tc>
          <w:tcPr>
            <w:tcW w:w="1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(50,122)</w:t>
            </w:r>
          </w:p>
        </w:tc>
      </w:tr>
      <w:tr>
        <w:trPr>
          <w:trHeight w:val="155"/>
        </w:trPr>
        <w:tc>
          <w:tcPr>
            <w:tcW w:w="59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change in cash, cash equivalents and restricted cash</w:t>
            </w:r>
          </w:p>
        </w:tc>
        <w:tc>
          <w:tcPr>
            <w:tcW w:w="18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(21,378)</w:t>
            </w: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20,749</w:t>
            </w:r>
          </w:p>
        </w:tc>
      </w:tr>
      <w:tr>
        <w:trPr>
          <w:trHeight w:val="162"/>
        </w:trPr>
        <w:tc>
          <w:tcPr>
            <w:tcW w:w="5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8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36,922</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16,173</w:t>
            </w:r>
          </w:p>
        </w:tc>
      </w:tr>
      <w:tr>
        <w:trPr>
          <w:trHeight w:val="155"/>
        </w:trPr>
        <w:tc>
          <w:tcPr>
            <w:tcW w:w="59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8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7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15,544</w:t>
            </w:r>
          </w:p>
        </w:tc>
        <w:tc>
          <w:tcPr>
            <w:tcW w:w="1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36,922</w:t>
            </w:r>
          </w:p>
        </w:tc>
      </w:tr>
      <w:tr>
        <w:trPr>
          <w:trHeight w:val="20"/>
        </w:trPr>
        <w:tc>
          <w:tcPr>
            <w:tcW w:w="5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Summit Midstream Partners, LP (including its subsidiaries, collectively “SMLP” or the “Partnership”) is a Delaware limited partnership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conducted through various operating subsidiaries, each of which is owned or controlled by its wholly owned subsidiary holding company, Summit Holdings, a Delaware limited liability company. As of December 31, 2020, the Partnership indirectly owns its General Partner, and the General Partner is a wholly owned, indirect subsidiary of the Partnership. The General Partner has no assets or liabilities and holds the non-economic general partner interest in the Partnership.</w:t>
      </w:r>
    </w:p>
    <w:p>
      <w:pPr>
        <w:spacing w:after="0" w:line="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GP Buy-In Transaction. </w:t>
      </w:r>
      <w:r>
        <w:rPr>
          <w:rFonts w:ascii="Arial" w:cs="Arial" w:eastAsia="Arial" w:hAnsi="Arial"/>
          <w:sz w:val="16"/>
          <w:szCs w:val="16"/>
          <w:color w:val="auto"/>
        </w:rPr>
        <w:t>On May 28, 2020, the Partnership closed the transactions contemplated by the Purchase Agreement (the “Purchase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dated May 3, 2020, with affiliates of its then private equity sponsor, Energy Capital Partners II, LLC (“ECP”), to acquire Summit Investments. The acquisition of Summit Investments resulted in the Partnership acquiring (a) 2.3 million SMLP common units that were pledged as collateral under the SMPH Term Loan, (b) 0.7 million SMLP common units that were not pledged as collateral under the SMPH Term Loan and (c) a deferred purchase price obligation receivable owed by the Partnership. In addition, the Partnership acquired 0.4 million SMLP common units held by an affiliate of ECP. The total purchase price was $35.0 million in cash and warrants giving ECP the right to purchase up to 0.7 million SMLP common units (refer to Note 13 – Partners’ Capital and Mezzanine Capital for additional details). Pursuant to the Purchase Agreement, the Partnership retained any liabilities stemming from the release of produced water from a produced water pipeline operated by Meadowlark Midstream, a subsidiary of the Partnership, that occurred near Williston, North Dakota and was discovered on January 6, 2015. These transactions are collectively referred to as the “GP Buy-In Transaction.”</w:t>
      </w:r>
    </w:p>
    <w:p>
      <w:pPr>
        <w:spacing w:after="0" w:line="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a result of the GP Buy-In Transaction, the Partnership indirectly owns its General Partner. Following the closing of the GP Buy-In Transaction, the Partnership retired 1.1 million SMLP common units it acquired that were not pledged as collateral under the SMPH Term Loan. The 2.3 million SMLP common units that were pledged as collateral under the SMPH Term Loan were not considered outstanding with respect to voting and distributions under the Partnership Agreement until the closing of the TL Restructuring on November 17, 2020 (refer to Note 10).</w:t>
      </w:r>
    </w:p>
    <w:p>
      <w:pPr>
        <w:spacing w:after="0" w:line="63" w:lineRule="exact"/>
        <w:rPr>
          <w:sz w:val="20"/>
          <w:szCs w:val="20"/>
          <w:color w:val="auto"/>
        </w:rPr>
      </w:pPr>
    </w:p>
    <w:p>
      <w:pPr>
        <w:jc w:val="both"/>
        <w:ind w:right="400"/>
        <w:spacing w:after="0" w:line="284" w:lineRule="auto"/>
        <w:rPr>
          <w:sz w:val="20"/>
          <w:szCs w:val="20"/>
          <w:color w:val="auto"/>
        </w:rPr>
      </w:pPr>
      <w:r>
        <w:rPr>
          <w:rFonts w:ascii="Arial" w:cs="Arial" w:eastAsia="Arial" w:hAnsi="Arial"/>
          <w:sz w:val="17"/>
          <w:szCs w:val="17"/>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Reverse Unit Split. On November 9, 2020, after the close of trading on the NYSE, the Partnership effected a 1-for-15 reverse unit split (the “Reverse Unit Split”) of its common units. The common units began trading on a split-adjusted basis on November 10, 2020. Pursuant to the Reverse Unit Split, common unitholders received one common unit for every 15 common units owned at the close of business on November 9, 2020. Immediately prior to the Reverse Unit Split, there were 56,624,887 common units issued and outstanding and immediately after the Reverse Unit Split, the number of issued and outstanding common units decreased to 3,774,992.</w:t>
      </w:r>
    </w:p>
    <w:p>
      <w:pPr>
        <w:spacing w:after="0" w:line="12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Business Operations. </w:t>
      </w:r>
      <w:r>
        <w:rPr>
          <w:rFonts w:ascii="Arial" w:cs="Arial" w:eastAsia="Arial" w:hAnsi="Arial"/>
          <w:sz w:val="16"/>
          <w:szCs w:val="16"/>
          <w:color w:val="auto"/>
        </w:rPr>
        <w:t>The Partnership provides natural gas gathering, compression, treating and processing services as well as crude oil and produced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The Partnership prepares its consolidated financial statements in accordance with GAAP as established by the FASB.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makes estimates and assumptions that affect the reported amounts of assets and liabilities at the balance sheet dates, including fair value measurements, the reported amounts of revenues and expenses and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disclosure of commitments and contingencies. Although management believes these estimates are reasonable, actual results could differ from its estimates.</w:t>
      </w:r>
    </w:p>
    <w:p>
      <w:pPr>
        <w:spacing w:after="0" w:line="14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The Partnership is closely monitoring the impact of the outbreak of COVID-19 on all aspects of its business, including how it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and will impact its customers, employees, supply chain and distribution network. The Partnership is unable to predict the ultimate impact that COVID-19 may have on its business, future results of operations, financial position or cash flows.</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Cash, Cash Equivalents and Restricted Cash. </w:t>
      </w:r>
      <w:r>
        <w:rPr>
          <w:rFonts w:ascii="Arial" w:cs="Arial" w:eastAsia="Arial" w:hAnsi="Arial"/>
          <w:sz w:val="18"/>
          <w:szCs w:val="18"/>
          <w:color w:val="auto"/>
        </w:rPr>
        <w:t>The Partnership considers all highly liquid investments with an original maturity of three months or less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Accounts receivable relate to gathering and other services provided to the Partnership’s customers and other counterparties.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evaluates the collectability of accounts receivable and the need for an allowance for doubtful accounts based on customer-specific facts and circumstances. To the extent the collectability of a specific customer or counterparty receivable is doubtful, the Partnership recognizes an allowance for doubtful accounts. Uncollectible receivables are written off when a settlement is reached for an amount that is less than the outstanding historical balance or a receivable amount is deemed otherwise unrealizable.</w:t>
      </w:r>
    </w:p>
    <w:p>
      <w:pPr>
        <w:spacing w:after="0" w:line="8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The Partnership records property, plant and equipment at historical cost of construction or fair value of the assets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The Partnership capitalizes expenditures that extend the useful life of an asset or enhance its productivity or efficiency from its original design over the expected remaining period of use. For maintenance and repairs that do not add capacity or extend the useful life of an asset, the Partnership recognizes expenditures as an expense as incurred. The Partnership capitalizes project costs incurred during construction, including interest on funds borrowed to finance the construction of facilities, as construction in progress. Accrued capital expenditures are reflected in trade accounts payable.</w:t>
      </w:r>
    </w:p>
    <w:p>
      <w:pPr>
        <w:spacing w:after="0" w:line="5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Partnership records depreciation on a straight-line basis over an asset’s estimated useful life and bases its estimates for useful life on various factors including age (in the case of acquired assets), manufacturing specifications, technological advances and historical data concerning useful lives of similar assets. Estimates of useful lives follow.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189"/>
        </w:trPr>
        <w:tc>
          <w:tcPr>
            <w:tcW w:w="99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r>
      <w:tr>
        <w:trPr>
          <w:trHeight w:val="309"/>
        </w:trPr>
        <w:tc>
          <w:tcPr>
            <w:tcW w:w="99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r>
      <w:tr>
        <w:trPr>
          <w:trHeight w:val="250"/>
        </w:trPr>
        <w:tc>
          <w:tcPr>
            <w:tcW w:w="9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Gathering and processing systems and related equipment</w:t>
            </w:r>
          </w:p>
        </w:tc>
        <w:tc>
          <w:tcPr>
            <w:tcW w:w="130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12-30</w:t>
            </w:r>
          </w:p>
        </w:tc>
      </w:tr>
      <w:tr>
        <w:trPr>
          <w:trHeight w:val="257"/>
        </w:trPr>
        <w:tc>
          <w:tcPr>
            <w:tcW w:w="9940" w:type="dxa"/>
            <w:vAlign w:val="bottom"/>
          </w:tcPr>
          <w:p>
            <w:pPr>
              <w:ind w:left="60"/>
              <w:spacing w:after="0"/>
              <w:rPr>
                <w:sz w:val="20"/>
                <w:szCs w:val="20"/>
                <w:color w:val="auto"/>
              </w:rPr>
            </w:pPr>
            <w:r>
              <w:rPr>
                <w:rFonts w:ascii="Arial" w:cs="Arial" w:eastAsia="Arial" w:hAnsi="Arial"/>
                <w:sz w:val="18"/>
                <w:szCs w:val="18"/>
                <w:color w:val="auto"/>
              </w:rPr>
              <w:t>Other</w:t>
            </w:r>
          </w:p>
        </w:tc>
        <w:tc>
          <w:tcPr>
            <w:tcW w:w="1300" w:type="dxa"/>
            <w:vAlign w:val="bottom"/>
          </w:tcPr>
          <w:p>
            <w:pPr>
              <w:jc w:val="right"/>
              <w:ind w:right="401"/>
              <w:spacing w:after="0"/>
              <w:rPr>
                <w:sz w:val="20"/>
                <w:szCs w:val="20"/>
                <w:color w:val="auto"/>
              </w:rPr>
            </w:pPr>
            <w:r>
              <w:rPr>
                <w:rFonts w:ascii="Arial" w:cs="Arial" w:eastAsia="Arial" w:hAnsi="Arial"/>
                <w:sz w:val="18"/>
                <w:szCs w:val="18"/>
                <w:color w:val="auto"/>
              </w:rPr>
              <w:t>4-15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is depreciated consistent with its applicable asset class once it is placed in service. Land and line fill are not depreciated.</w:t>
      </w:r>
    </w:p>
    <w:p>
      <w:pPr>
        <w:spacing w:after="0" w:line="1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Partnership bases an asset’s carrying value on estimates, assumptions and judgments for useful life and salvage value. Upon sale, retirement or other disposal, the Partnership removes the carrying value of an asset and its accumulated depreciation from its balance sheet and recognizes the related gain or loss, if any.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The Partnership records a liability for asset retirement obligations only if and when a future asset retirement obligation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determinable life is identified. For identified asset retirement obligations, the Partnership evaluates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whether the expected retirement date and related costs of retirement can be estimated. The Partnership has concluded that its gathering and processing assets have an indeterminate life because they are owned and will operate for an indeterminate period when properly maintained. Because the Partnership does not have sufficient information to reasonably estimate the amount or timing of such obligations and does not have any current plan to discontinue use of any significant assets, the Partnership did not provide for any asset retirement obligations as of December 31, 2020 or 2019.</w:t>
      </w:r>
    </w:p>
    <w:p>
      <w:pPr>
        <w:spacing w:after="0" w:line="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 xml:space="preserve">Amortizing Intangibles. </w:t>
      </w:r>
      <w:r>
        <w:rPr>
          <w:rFonts w:ascii="Arial" w:cs="Arial" w:eastAsia="Arial" w:hAnsi="Arial"/>
          <w:sz w:val="16"/>
          <w:szCs w:val="16"/>
          <w:color w:val="auto"/>
        </w:rPr>
        <w:t>The Partnership has certain acquired gas gathering contracts that had above-market pricing structures at the acquisition date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Partnership amortizes these favorable contracts using a straight-line method over the contract’s estimated useful life. The Partnership defines useful life as the period over which the contract is expected to contribute to the Partnership’s future cash flows. These favorable contracts have original terms ranging from 10 years to 20 years and the Partnership recognizes the amortization expense associated with these contracts in Other revenues.</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Partnership amortizes all other gas gathering contracts, or contract intangibles, over the period of economic benefit based upon expected revenues over the life of the contract. The useful life of these contracts ranges from 3 years to 25 years. The Partnership recognizes the amortization expense associated with these contracts in Depreciation and amortization expense.</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Partnership also has rights-of-way associated with municipal easements and easements granted within existing rights-of-way. The Partnership amortizes these intangible assets over the shorter of the contractual term of the rights-of-way or the estimated useful life of the gathering system. The contractual terms of the rights-of-way range from 20 years to 30 years and the Partnership recognizes the amortization expense associated with these rights-of-way assets in Depreciation and amortization expense.</w:t>
      </w:r>
    </w:p>
    <w:p>
      <w:pPr>
        <w:spacing w:after="0" w:line="7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 xml:space="preserve">Equity Method Investments. </w:t>
      </w:r>
      <w:r>
        <w:rPr>
          <w:rFonts w:ascii="Arial" w:cs="Arial" w:eastAsia="Arial" w:hAnsi="Arial"/>
          <w:sz w:val="18"/>
          <w:szCs w:val="18"/>
          <w:color w:val="auto"/>
        </w:rPr>
        <w:t>The Partnership accounts for investments in which it exercises significant influence using the equity method so long as it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does not control the investee and (ii) is not the primary beneficiary. The Partnership reflects these investments in its consolidated balance sheets under the caption titled “investment in equity method investees.”</w:t>
      </w:r>
    </w:p>
    <w:p>
      <w:pPr>
        <w:spacing w:after="0" w:line="76"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Partnership recognizes an other-than-temporary impairment for losses in the value of equity method investees when evidence indicates that the carrying amount is no longer supportable. Evidence of a loss in value might include, but is not limited to, absence of an ability to recover the carrying amount of the investment or an inability of the equity method investee to sustain an earnings capacity that would justify the carrying amount of the investment. A current fair value of an investment that is less than its carrying amount may indicate a loss in value of the investment. The Partnership evaluates its equity method investments whenever a triggering event exists that would indicate a need to assess the investment for potential impairment.</w:t>
      </w:r>
    </w:p>
    <w:p>
      <w:pPr>
        <w:spacing w:after="0" w:line="53"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The Partnership tests assets for impairment when events or circumstances indicate the carrying value of a long-lived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may not be recoverable. The carrying value of a long-lived asset (except goodwill) is not recoverable if it exceeds the sum of the undiscounted cash flows expected to result from its use and eventual disposition. If the Partnership concludes that an asset's carrying value will not be recovered through future cash flows, the Partnership recognizes an impairment loss on the long-lived asset equal to the amount by which the carrying value exceeds its fair value. The Partnership determines fair value using a combination of market-based and income-based approaches.</w:t>
      </w:r>
    </w:p>
    <w:p>
      <w:pPr>
        <w:spacing w:after="0" w:line="5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Environmental Matters. </w:t>
      </w:r>
      <w:r>
        <w:rPr>
          <w:rFonts w:ascii="Arial" w:cs="Arial" w:eastAsia="Arial" w:hAnsi="Arial"/>
          <w:sz w:val="17"/>
          <w:szCs w:val="17"/>
          <w:color w:val="auto"/>
        </w:rPr>
        <w:t>The Partnership is subject to various federal, state and local laws and regulations relating to the protection of the environment.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loss contingencies, including environmental remediation costs, arising from claims, assessments, litigation, fines and penalties and other sources are charged to expense when it is probable that a liability has been incurred and the amount of the assessment and/or remediation can be reasonably estimated. The Partnership accrues 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spacing w:after="0" w:line="7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When required, the Partnership records accruals for loss contingencies in accordance with FASB ASC 450,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Such determinations are subject to interpretations of current facts and circumstances, forecasts of future events and estimates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impacts of such events.</w:t>
      </w:r>
    </w:p>
    <w:p>
      <w:pPr>
        <w:spacing w:after="0" w:line="7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Noncontrolling Interest and Mezzanine Capital</w:t>
      </w:r>
      <w:r>
        <w:rPr>
          <w:rFonts w:ascii="Arial" w:cs="Arial" w:eastAsia="Arial" w:hAnsi="Arial"/>
          <w:sz w:val="18"/>
          <w:szCs w:val="18"/>
          <w:color w:val="auto"/>
        </w:rPr>
        <w:t>. A noncontrolling interest represents the portion of a consolidated subsidiary that is owned by a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Amounts are adjusted by the noncontrolling interest holder’s proportionate share of the subsidiary’s earnings or losses each period and any distributions that are paid. A noncontrolling interest is reported as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component of equity unless the noncontrolling interest is considered redeemable, in which case the noncontrolling interest is recorded between liabilities and equity (mezzanine or temporary equity) in the Partnership’s consolidated balance sheet.</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Partnership provides gathering and/or processing services principally under contracts that contain one or more of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described below:</w:t>
      </w:r>
    </w:p>
    <w:p>
      <w:pPr>
        <w:spacing w:after="0" w:line="62" w:lineRule="exact"/>
        <w:rPr>
          <w:sz w:val="20"/>
          <w:szCs w:val="20"/>
          <w:color w:val="auto"/>
        </w:rPr>
      </w:pPr>
    </w:p>
    <w:p>
      <w:pPr>
        <w:ind w:left="800" w:right="380" w:hanging="401"/>
        <w:spacing w:after="0" w:line="308"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Fee-based arrangements. </w:t>
      </w:r>
      <w:r>
        <w:rPr>
          <w:rFonts w:ascii="Arial" w:cs="Arial" w:eastAsia="Arial" w:hAnsi="Arial"/>
          <w:sz w:val="17"/>
          <w:szCs w:val="17"/>
          <w:color w:val="auto"/>
        </w:rPr>
        <w:t>Under fee-based arrangements, the Partnership receives a fee or fees for one or more of the following services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gathering, treating, compressing and/or processing and (ii) crude oil and/or produced water gathering.</w:t>
      </w:r>
    </w:p>
    <w:p>
      <w:pPr>
        <w:spacing w:after="0" w:line="38" w:lineRule="exact"/>
        <w:rPr>
          <w:rFonts w:ascii="Arial" w:cs="Arial" w:eastAsia="Arial" w:hAnsi="Arial"/>
          <w:sz w:val="17"/>
          <w:szCs w:val="17"/>
          <w:color w:val="auto"/>
        </w:rPr>
      </w:pPr>
    </w:p>
    <w:p>
      <w:pPr>
        <w:ind w:left="800" w:hanging="401"/>
        <w:spacing w:after="0" w:line="254"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Percent-of-proceeds arrangements. </w:t>
      </w:r>
      <w:r>
        <w:rPr>
          <w:rFonts w:ascii="Arial" w:cs="Arial" w:eastAsia="Arial" w:hAnsi="Arial"/>
          <w:sz w:val="18"/>
          <w:szCs w:val="18"/>
          <w:color w:val="auto"/>
        </w:rPr>
        <w:t>Under percent-of-proceeds arrangements, the Partnership generally purchases natural gas from producers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wellhead, or other receipt points, gathers the wellhead natural gas through its gathering system, treats and compresses the natural gas, processes the natural gas and/or sells the natural gas to a third party for processing. The Partnership then remits to its producers an agreed-upon percentage of the actual proceeds received from sales of the residue natural gas and NGLs. Certain of these arrangements may also result in returning all or a portion of the residue natural gas and/or the NGLs to the producer, in lieu of returning sales proceeds. The margins earned are directly related to the volume of natural gas that flows through the system and the price at which the Partnership is able to sell the residue natural gas and NGLs.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For the contracts described above, the Partnership reflects its revenues in the financial statement captions described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Financial statement caption:</w:t>
            </w: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Revenue description:</w:t>
            </w:r>
          </w:p>
        </w:tc>
      </w:tr>
      <w:tr>
        <w:trPr>
          <w:trHeight w:val="222"/>
        </w:trPr>
        <w:tc>
          <w:tcPr>
            <w:tcW w:w="52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Revenue earned from fee-based</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gathering, compression, treating</w:t>
            </w:r>
          </w:p>
        </w:tc>
      </w:tr>
      <w:tr>
        <w:trPr>
          <w:trHeight w:val="230"/>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and processing services;</w:t>
            </w: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 from the sale of physical</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natural gas purchased from</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customers percent-of-proceeds</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arrangements (Costs are</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presented within cost of natural</w:t>
            </w:r>
          </w:p>
        </w:tc>
      </w:tr>
      <w:tr>
        <w:trPr>
          <w:trHeight w:val="230"/>
        </w:trPr>
        <w:tc>
          <w:tcPr>
            <w:tcW w:w="5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gas and NGLs);</w:t>
            </w:r>
          </w:p>
        </w:tc>
      </w:tr>
      <w:tr>
        <w:trPr>
          <w:trHeight w:val="215"/>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 from sale of condensate</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NGLs retained from gathering</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services (Costs are presented</w:t>
            </w:r>
          </w:p>
        </w:tc>
      </w:tr>
      <w:tr>
        <w:trPr>
          <w:trHeight w:val="216"/>
        </w:trPr>
        <w:tc>
          <w:tcPr>
            <w:tcW w:w="5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within operation and maintenance</w:t>
            </w:r>
          </w:p>
        </w:tc>
      </w:tr>
      <w:tr>
        <w:trPr>
          <w:trHeight w:val="230"/>
        </w:trPr>
        <w:tc>
          <w:tcPr>
            <w:tcW w:w="5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expense); and</w:t>
            </w: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reimbursements to the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Partnership for costs incurred by the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Partnership on customer’s behalf</w:t>
            </w:r>
          </w:p>
        </w:tc>
      </w:tr>
      <w:tr>
        <w:trPr>
          <w:trHeight w:val="230"/>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(Recorded on a gross basis).</w:t>
            </w:r>
          </w:p>
        </w:tc>
      </w:tr>
    </w:tbl>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Under these MVCs, customers agree to ship and/or process a minimum volume of production on its gathering systems or to pay a minimum monetary amount over certain periods during the term of the MVC. A customer must make a shortfall payment to the Partnership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Partnership recognizes customer obligations under their MVCs as revenue and contract assets when (i) it considers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 this determination, the Partnership considers both quantitative and qualitative facts and circumstances, including, but not limited to, contract terms, capacity of the associated pipeline or receipt point and/or expectations regarding future investment, drilling and production.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 xml:space="preserve">Unit-Based Compensation. </w:t>
      </w:r>
      <w:r>
        <w:rPr>
          <w:rFonts w:ascii="Arial" w:cs="Arial" w:eastAsia="Arial" w:hAnsi="Arial"/>
          <w:sz w:val="18"/>
          <w:szCs w:val="18"/>
          <w:color w:val="auto"/>
        </w:rPr>
        <w:t>For awards of unit-based compensation, the Partnership determines a grant date fair value and recognizes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in the statements of operations over the vesting period for each respective award.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generally not subject to federal and state income taxes, except as noted below. However, its unitholders are individually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paying federal and state income taxes on their share of its taxable income. Net income or loss for GAAP purposes may differ significantly from taxable income reportable to its unitholders as a result of differences between the tax basis and the GAAP basis of assets and liabilities and the taxable income allocation requirements of the Partnership’s governing documents. The aggregate difference in the basis of the Partnership’s net assets for financial and income tax purposes cannot be readily determined as the Partnership does not have access to the information about each partner’s tax attributes related to the Partnership.</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general, legal entities that are chartered, organized or conducting business in the state of Texas are subject to a franchise tax (the "Texas Margin Tax"). The Texas Margin Tax has the characteristics of an income tax because it is determined by applying a tax rate to a tax base that considers both revenues and expenses. The Partnership’s financial statements reflect provisions for these tax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implemented in this Annual Report.</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the Partnership’s consolidated financial statements or disclosures.</w:t>
      </w:r>
    </w:p>
    <w:p>
      <w:pPr>
        <w:spacing w:after="0" w:line="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the Partnership’s consolidated financial statements or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 in this Annual Report.</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ASU No. 2020-06 Debt – Debt with Conversion and Other Options (Subtopic 470-20) and Derivatives and Hedging – Contracts in Entity’s Own Equity (Subtopic 815 – 40) (“ASU 2020-06”). ASU 2020-06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U.S. GAAP. The ASU’s amendments are effective for fiscal years beginning after December 15, 2023, and interim periods within those fiscal years. The Partnership is currently evaluating the provisions of ASU 2020-06 to determine its impact on the Partnership’s consolidated financial statements and disclosures.</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ASU No. 2020-04 Reference Rate Reform (“ASU 2020-04”). ASU 2020-04 provides optional expedients and exceptions for applying GAAP to contracts, hedging relationships and other transactions affected by reference rate reform on financial reporting. The amendments in ASU 2020-04 are effective as of March 12, 2020 through December 31, 2022. The Partnership is currently evaluating the provisions of ASU 2020-04 to determine its impact on the Partnership’s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majority of the Partnership’s revenue is derived from long-term, fee-based contracts with its customers, which include original terms of up to 25 years. The Partnership recognizes revenue earned from fee-based gathering, compression, treating and processing services in gathering services and related fees. The Partnership also earns revenue in the Williston Basin and Permian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Basin reporting segments from the sale of physical natural gas purchased from its customers under certain percent-of-proceeds arrangements. Under ASC Topic 606, these gathering contracts are presented net within cost of natural gas and NGLs. The Partnership sells natural gas that it retains from certain customers in the Barnett Shale reporting segment to offset the power expenses of the electric-driven compression on the DFW Midstream system. The Partnership also sells condensate and NGLs retained from certain of its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the Partnership for costs incurred on their behalf. The Partnership records costs incurred and reimbursed by its customers on a gross basis, with the revenue component recognized in Other revenues.</w:t>
      </w:r>
    </w:p>
    <w:p>
      <w:pPr>
        <w:spacing w:after="0" w:line="5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transaction price in the Partnership’s contracts is primarily based on the volume of natural gas, crude oil or produced water transferred by its gathering systems to the customer’s agreed upon delivery point multiplied by the contractual rate. For contracts that include MVCs, variable consideration up to the MVC will be included in the transaction price. For contracts that do not include MVCs, the Partnership does not estimate variable consideration because the performance obligations are completed and settled on a daily basis. For contracts containing noncash consideration such as fuel received in-kind, the Partnership measures the transaction price at the point of sale when the volume, mix and market price of the commodities are known.</w:t>
      </w:r>
    </w:p>
    <w:p>
      <w:pPr>
        <w:spacing w:after="0" w:line="5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Partnership has contracts with MVCs that are variable and constrained. Contracts with longer than monthly MVCs are reviewed on a quarterly basis and adjustments to those estimates are made during each respective reporting period, if necessary.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Performance obligations</w:t>
      </w:r>
      <w:r>
        <w:rPr>
          <w:rFonts w:ascii="Arial" w:cs="Arial" w:eastAsia="Arial" w:hAnsi="Arial"/>
          <w:sz w:val="18"/>
          <w:szCs w:val="18"/>
          <w:color w:val="auto"/>
        </w:rPr>
        <w:t>. The majority of the Partnership’s contracts have a single performance obligation which is either to provide gathering services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service) or sell natural gas, NGLs and condensate, which are both satisfied when the related natural gas, crude oil and produced water are received and transferred to an agreed upon delivery point. The Partnership also has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the Partnership allocates the contract’s transaction price to each performance obligation using its best estimate of the standalone selling price of each service in the contract.</w:t>
      </w:r>
    </w:p>
    <w:p>
      <w:pPr>
        <w:spacing w:after="0" w:line="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Performance obligations for gathering services are generally satisfied over time. The Partnership utilizes either an output method (i.e., measure of progress) for guaranteed, stand-ready service contracts or an asset/system delivery time estimate for non-guaranteed, as-available service contracts.</w:t>
      </w:r>
    </w:p>
    <w:p>
      <w:pPr>
        <w:spacing w:after="0" w:line="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of the Partnership’s gathering and/or processing agreements provide for monthly or annual MVCs. Under these MVCs, the Partnership’s customers agree to ship and/or process a minimum volume of production on its gathering systems or to pay a minimum monetary amount over certain periods during the term of the MVC. A customer must make a shortfall payment to the Partnership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Partnership recognizes customer obligations under their MVCs as revenue and contract assets when (i) it is considered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76"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S</w:t>
      </w:r>
      <w:r>
        <w:rPr>
          <w:rFonts w:ascii="Arial" w:cs="Arial" w:eastAsia="Arial" w:hAnsi="Arial"/>
          <w:sz w:val="17"/>
          <w:szCs w:val="17"/>
          <w:color w:val="auto"/>
        </w:rPr>
        <w:t>ervices are typically billed on a monthly basis and the Partnership does not offer extended payment terms. The Partnership does not have contracts with</w:t>
      </w:r>
      <w:r>
        <w:rPr>
          <w:rFonts w:ascii="Arial" w:cs="Arial" w:eastAsia="Arial" w:hAnsi="Arial"/>
          <w:sz w:val="20"/>
          <w:szCs w:val="20"/>
          <w:color w:val="auto"/>
        </w:rPr>
        <w:t xml:space="preserve"> </w:t>
      </w:r>
      <w:r>
        <w:rPr>
          <w:rFonts w:ascii="Arial" w:cs="Arial" w:eastAsia="Arial" w:hAnsi="Arial"/>
          <w:sz w:val="17"/>
          <w:szCs w:val="17"/>
          <w:color w:val="auto"/>
        </w:rPr>
        <w:t>financing components.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estimated revenue expected to be recognized over the remaining contract period related to performance obligations that are unsatisfied and are comprised of estimated MVC shortfall payments.</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Partnership applies the practical expedient in paragraph 606-10-50-14 of Topic 606 for certain arrangements that are considered optional purchases (i.e., there is no enforceable obligation for the customer to make purchases) and those amounts are therefore excluded from the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Thereafter</w:t>
            </w:r>
          </w:p>
        </w:tc>
      </w:tr>
      <w:tr>
        <w:trPr>
          <w:trHeight w:val="156"/>
        </w:trPr>
        <w:tc>
          <w:tcPr>
            <w:tcW w:w="3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100,182</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84,215</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66,330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49,872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32,996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22,706</w:t>
            </w:r>
          </w:p>
        </w:tc>
      </w:tr>
    </w:tbl>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Revenue by Category</w:t>
      </w:r>
      <w:r>
        <w:rPr>
          <w:rFonts w:ascii="Arial" w:cs="Arial" w:eastAsia="Arial" w:hAnsi="Arial"/>
          <w:sz w:val="18"/>
          <w:szCs w:val="18"/>
          <w:color w:val="auto"/>
        </w:rPr>
        <w:t>. In the following table,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Year ended December 31, 2020</w:t>
            </w: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Gathering services and</w:t>
            </w:r>
          </w:p>
        </w:tc>
        <w:tc>
          <w:tcPr>
            <w:tcW w:w="160" w:type="dxa"/>
            <w:vAlign w:val="bottom"/>
          </w:tcPr>
          <w:p>
            <w:pPr>
              <w:spacing w:after="0"/>
              <w:rPr>
                <w:sz w:val="11"/>
                <w:szCs w:val="11"/>
                <w:color w:val="auto"/>
              </w:rPr>
            </w:pPr>
          </w:p>
        </w:tc>
        <w:tc>
          <w:tcPr>
            <w:tcW w:w="19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Natural gas, NGLs and</w:t>
            </w:r>
          </w:p>
        </w:tc>
        <w:tc>
          <w:tcPr>
            <w:tcW w:w="380" w:type="dxa"/>
            <w:vAlign w:val="bottom"/>
          </w:tcPr>
          <w:p>
            <w:pPr>
              <w:spacing w:after="0"/>
              <w:rPr>
                <w:sz w:val="11"/>
                <w:szCs w:val="11"/>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revenues</w:t>
            </w:r>
          </w:p>
        </w:tc>
        <w:tc>
          <w:tcPr>
            <w:tcW w:w="440" w:type="dxa"/>
            <w:vAlign w:val="bottom"/>
          </w:tcPr>
          <w:p>
            <w:pPr>
              <w:spacing w:after="0"/>
              <w:rPr>
                <w:sz w:val="11"/>
                <w:szCs w:val="11"/>
                <w:color w:val="auto"/>
              </w:rPr>
            </w:pPr>
          </w:p>
        </w:tc>
        <w:tc>
          <w:tcPr>
            <w:tcW w:w="1540" w:type="dxa"/>
            <w:vAlign w:val="bottom"/>
            <w:vMerge w:val="restart"/>
          </w:tcPr>
          <w:p>
            <w:pPr>
              <w:jc w:val="right"/>
              <w:ind w:right="8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related fees</w:t>
            </w: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condensate sales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Utica Shale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36,509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36,509</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59,239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20,018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13,438</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92,695</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DJ Basin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23,868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3,957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28,070</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18,857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29,533</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Piceance Basin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106,657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113,890</w:t>
            </w:r>
          </w:p>
        </w:tc>
        <w:tc>
          <w:tcPr>
            <w:tcW w:w="0" w:type="dxa"/>
            <w:vAlign w:val="bottom"/>
          </w:tcPr>
          <w:p>
            <w:pPr>
              <w:spacing w:after="0"/>
              <w:rPr>
                <w:sz w:val="1"/>
                <w:szCs w:val="1"/>
                <w:color w:val="auto"/>
              </w:rPr>
            </w:pPr>
          </w:p>
        </w:tc>
      </w:tr>
      <w:tr>
        <w:trPr>
          <w:trHeight w:val="229"/>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40,687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7,587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6,185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54,459</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Marcellus Shale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25,741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302,792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49,319</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28,786</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380,897</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All other segments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2,576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302,792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49,319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31,362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383,473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Year ended December 31, 2019</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Gathering services and</w:t>
            </w:r>
          </w:p>
        </w:tc>
        <w:tc>
          <w:tcPr>
            <w:tcW w:w="160" w:type="dxa"/>
            <w:vAlign w:val="bottom"/>
          </w:tcPr>
          <w:p>
            <w:pPr>
              <w:spacing w:after="0"/>
              <w:rPr>
                <w:sz w:val="11"/>
                <w:szCs w:val="11"/>
                <w:color w:val="auto"/>
              </w:rPr>
            </w:pPr>
          </w:p>
        </w:tc>
        <w:tc>
          <w:tcPr>
            <w:tcW w:w="19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Natural gas, NGLs and</w:t>
            </w:r>
          </w:p>
        </w:tc>
        <w:tc>
          <w:tcPr>
            <w:tcW w:w="380" w:type="dxa"/>
            <w:vAlign w:val="bottom"/>
          </w:tcPr>
          <w:p>
            <w:pPr>
              <w:spacing w:after="0"/>
              <w:rPr>
                <w:sz w:val="11"/>
                <w:szCs w:val="11"/>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revenues</w:t>
            </w:r>
          </w:p>
        </w:tc>
        <w:tc>
          <w:tcPr>
            <w:tcW w:w="440" w:type="dxa"/>
            <w:vAlign w:val="bottom"/>
          </w:tcPr>
          <w:p>
            <w:pPr>
              <w:spacing w:after="0"/>
              <w:rPr>
                <w:sz w:val="11"/>
                <w:szCs w:val="11"/>
                <w:color w:val="auto"/>
              </w:rPr>
            </w:pPr>
          </w:p>
        </w:tc>
        <w:tc>
          <w:tcPr>
            <w:tcW w:w="1540" w:type="dxa"/>
            <w:vAlign w:val="bottom"/>
            <w:vMerge w:val="restart"/>
          </w:tcPr>
          <w:p>
            <w:pPr>
              <w:jc w:val="right"/>
              <w:ind w:right="8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related fees</w:t>
            </w: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condensate sales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center"/>
              <w:ind w:left="1235"/>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Utica Shale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31,926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2,065</w:t>
            </w: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77,626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16,461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11,564</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105,651</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DJ Basin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21,940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16,383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Piceance Basin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121,357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4,327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133,638</w:t>
            </w:r>
          </w:p>
        </w:tc>
        <w:tc>
          <w:tcPr>
            <w:tcW w:w="0" w:type="dxa"/>
            <w:vAlign w:val="bottom"/>
          </w:tcPr>
          <w:p>
            <w:pPr>
              <w:spacing w:after="0"/>
              <w:rPr>
                <w:sz w:val="1"/>
                <w:szCs w:val="1"/>
                <w:color w:val="auto"/>
              </w:rPr>
            </w:pPr>
          </w:p>
        </w:tc>
      </w:tr>
      <w:tr>
        <w:trPr>
          <w:trHeight w:val="229"/>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47,862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17,147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6,793</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71,802</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Marcellus Shale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24,471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328,792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58,334</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28,780</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415,906</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segments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1,007</w:t>
            </w: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27,622</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326,747</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86,994</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29,787</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443,528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ind w:right="1275"/>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Contract balances</w:t>
      </w:r>
      <w:r>
        <w:rPr>
          <w:rFonts w:ascii="Arial" w:cs="Arial" w:eastAsia="Arial" w:hAnsi="Arial"/>
          <w:sz w:val="18"/>
          <w:szCs w:val="18"/>
          <w:color w:val="auto"/>
        </w:rPr>
        <w:t>. Contract assets relate to the Partnership’s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its customers and unbilled activity associated with contributions in aid of construction. Contract assets are transferred to trade receivables when the rights become unconditional. The following table provides information about contract assets from contracts with customers</w:t>
      </w:r>
      <w:r>
        <w:rPr>
          <w:rFonts w:ascii="Arial" w:cs="Arial" w:eastAsia="Arial" w:hAnsi="Arial"/>
          <w:sz w:val="21"/>
          <w:szCs w:val="21"/>
          <w:color w:val="auto"/>
        </w:rPr>
        <w: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January 1,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8,755</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18,834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18,077</w:t>
            </w:r>
          </w:p>
        </w:tc>
      </w:tr>
      <w:tr>
        <w:trPr>
          <w:trHeight w:val="229"/>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Contract assets,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3,902</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receivables with customers totaled $57.5 million and contract assets totaled $2.0 million which were included in the Accounts receivable caption on the consolidated balance sheet.</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2019, receivables with customers totaled $90.4 million and contract assets totaled $3.9 million which were included in the Accounts receivable caption on the consolidated balance sheet.</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For the years ended December 31, 2020 and 2019, the Partnership recognized $4.0 million and $10.1 million, respectively, of gathering services and related fees which was included in the contract liability balance as of the beginning of the period. See Note 8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Partnership’s property, plant and equipment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5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gridSpan w:val="4"/>
          </w:tcPr>
          <w:p>
            <w:pPr>
              <w:jc w:val="right"/>
              <w:ind w:right="139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2,213,501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2,182,950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60,443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78,716</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10,440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10,137</w:t>
            </w: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61,340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54,595</w:t>
            </w:r>
          </w:p>
        </w:tc>
      </w:tr>
      <w:tr>
        <w:trPr>
          <w:trHeight w:val="223"/>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2,345,724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2,326,398</w:t>
            </w: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7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(528,178)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(443,909)</w:t>
            </w:r>
          </w:p>
        </w:tc>
      </w:tr>
      <w:tr>
        <w:trPr>
          <w:trHeight w:val="223"/>
        </w:trPr>
        <w:tc>
          <w:tcPr>
            <w:tcW w:w="5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1,817,546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1,882,489</w:t>
            </w:r>
          </w:p>
        </w:tc>
      </w:tr>
      <w:tr>
        <w:trPr>
          <w:trHeight w:val="20"/>
        </w:trPr>
        <w:tc>
          <w:tcPr>
            <w:tcW w:w="5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the carrying amount of a long-lived asset is not recoverable, an impairment is recognized equal to the excess of the asset’s carrying value over its fair value, which is based on inputs that are not observable in the market, and thus represent Level 3 inputs under GAAP’s fair value hierarchy. The Partnership recognized $13.1 million and $59.4 million of impairments during the fiscal years ended December 31, 2020 and 2019, respectively. Due to the volatility of the inputs used, the Partnership cannot predict the likelihood of any future impairment. The details on significant impairments recognized during the years ended December 31, 2020 and 2019 are provided below.</w:t>
      </w:r>
    </w:p>
    <w:p>
      <w:pPr>
        <w:spacing w:after="0" w:line="18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 xml:space="preserve">Significant 2020 Impairments. </w:t>
      </w:r>
      <w:r>
        <w:rPr>
          <w:rFonts w:ascii="Arial" w:cs="Arial" w:eastAsia="Arial" w:hAnsi="Arial"/>
          <w:sz w:val="18"/>
          <w:szCs w:val="18"/>
          <w:color w:val="auto"/>
        </w:rPr>
        <w:t>The Partnership recognized a $5.1 million impairment related to the 2021 sale of compressor equipment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carrying value of the equipment exceeded the sale price, and a $3.6 million impairment related to the cancellation of a DJ Basin compressor station construction project due to delays in customer drilling plans.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Significant 2019 Impairments. </w:t>
      </w:r>
      <w:r>
        <w:rPr>
          <w:rFonts w:ascii="Arial" w:cs="Arial" w:eastAsia="Arial" w:hAnsi="Arial"/>
          <w:sz w:val="18"/>
          <w:szCs w:val="18"/>
          <w:color w:val="auto"/>
        </w:rPr>
        <w:t>The Partnership recognized a $34.7 million impairment resulting from the expansion of a processing plant in the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caused a significant reduction in the utilization of the original processing plant’s infrastructure, a $14.2 million impairment resulting from the sale of gathering system in the Piceance Basin in which the carrying value of the system exceeded the sale price, and a $9.7 million impairment of compressor equipment in the Barnett Shale.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for the Partnership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95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55"/>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4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Depreciation expense</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86,263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78,489</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3,878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6,974</w:t>
            </w:r>
          </w:p>
        </w:tc>
      </w:tr>
      <w:tr>
        <w:trPr>
          <w:trHeight w:val="459"/>
        </w:trPr>
        <w:tc>
          <w:tcPr>
            <w:tcW w:w="4980" w:type="dxa"/>
            <w:vAlign w:val="bottom"/>
          </w:tcPr>
          <w:p>
            <w:pPr>
              <w:spacing w:after="0"/>
              <w:rPr>
                <w:sz w:val="20"/>
                <w:szCs w:val="20"/>
                <w:color w:val="auto"/>
              </w:rPr>
            </w:pPr>
            <w:r>
              <w:rPr>
                <w:rFonts w:ascii="Arial" w:cs="Arial" w:eastAsia="Arial" w:hAnsi="Arial"/>
                <w:sz w:val="18"/>
                <w:szCs w:val="18"/>
                <w:b w:val="1"/>
                <w:bCs w:val="1"/>
                <w:color w:val="auto"/>
              </w:rPr>
              <w:t>5. AMORTIZING INTANGIBLE ASSETS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8080" w:type="dxa"/>
            <w:vAlign w:val="bottom"/>
            <w:gridSpan w:val="5"/>
          </w:tcPr>
          <w:p>
            <w:pPr>
              <w:spacing w:after="0"/>
              <w:rPr>
                <w:sz w:val="20"/>
                <w:szCs w:val="20"/>
                <w:color w:val="auto"/>
              </w:rPr>
            </w:pPr>
            <w:r>
              <w:rPr>
                <w:rFonts w:ascii="Arial" w:cs="Arial" w:eastAsia="Arial" w:hAnsi="Arial"/>
                <w:sz w:val="18"/>
                <w:szCs w:val="18"/>
                <w:color w:val="auto"/>
              </w:rPr>
              <w:t>Details regarding the Partnership’s intangible assets, all of which are subject to amortization, follow.</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21"/>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5"/>
        </w:trPr>
        <w:tc>
          <w:tcPr>
            <w:tcW w:w="4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8"/>
              </w:rPr>
              <w:t>Gross carrying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4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Net</w:t>
            </w:r>
          </w:p>
        </w:tc>
      </w:tr>
      <w:tr>
        <w:trPr>
          <w:trHeight w:val="223"/>
        </w:trPr>
        <w:tc>
          <w:tcPr>
            <w:tcW w:w="4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24,195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(16,064)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8,131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Contract intangibles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278,448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(195,243)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83,205</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157,271</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(49,041)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108,230</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459,914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(260,348)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199,566</w:t>
            </w: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7"/>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5"/>
        </w:trPr>
        <w:tc>
          <w:tcPr>
            <w:tcW w:w="4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gridSpan w:val="3"/>
          </w:tcPr>
          <w:p>
            <w:pPr>
              <w:jc w:val="center"/>
              <w:ind w:right="120"/>
              <w:spacing w:after="0" w:line="205" w:lineRule="exact"/>
              <w:rPr>
                <w:sz w:val="20"/>
                <w:szCs w:val="20"/>
                <w:color w:val="auto"/>
              </w:rPr>
            </w:pPr>
            <w:r>
              <w:rPr>
                <w:rFonts w:ascii="Arial" w:cs="Arial" w:eastAsia="Arial" w:hAnsi="Arial"/>
                <w:sz w:val="18"/>
                <w:szCs w:val="18"/>
                <w:b w:val="1"/>
                <w:bCs w:val="1"/>
                <w:color w:val="auto"/>
                <w:w w:val="88"/>
              </w:rPr>
              <w:t>Gross carrying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4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Net</w:t>
            </w:r>
          </w:p>
        </w:tc>
      </w:tr>
      <w:tr>
        <w:trPr>
          <w:trHeight w:val="223"/>
        </w:trPr>
        <w:tc>
          <w:tcPr>
            <w:tcW w:w="4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24,195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9,070</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Contract intangibles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278,448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(169,549)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108,899</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157,175</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114,309</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6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459,818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(227,540)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232,278</w:t>
            </w: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recognized amortization expense of its favorable gas gathering contracts in Other revenues as follows:</w:t>
      </w:r>
    </w:p>
    <w:p>
      <w:pPr>
        <w:spacing w:after="0" w:line="128" w:lineRule="exact"/>
        <w:rPr>
          <w:sz w:val="20"/>
          <w:szCs w:val="20"/>
          <w:color w:val="auto"/>
        </w:rPr>
      </w:pPr>
    </w:p>
    <w:p>
      <w:pPr>
        <w:ind w:left="8400"/>
        <w:spacing w:after="0"/>
        <w:rPr>
          <w:sz w:val="20"/>
          <w:szCs w:val="20"/>
          <w:color w:val="auto"/>
        </w:rPr>
      </w:pPr>
      <w:r>
        <w:rPr>
          <w:rFonts w:ascii="Arial" w:cs="Arial" w:eastAsia="Arial" w:hAnsi="Arial"/>
          <w:sz w:val="20"/>
          <w:szCs w:val="20"/>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10160</wp:posOffset>
            </wp:positionV>
            <wp:extent cx="22288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2288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62"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tabs>
          <w:tab w:leader="none" w:pos="7720" w:val="left"/>
          <w:tab w:leader="none" w:pos="8920" w:val="left"/>
          <w:tab w:leader="none" w:pos="9540" w:val="left"/>
          <w:tab w:leader="none" w:pos="10620" w:val="left"/>
        </w:tabs>
        <w:rPr>
          <w:sz w:val="20"/>
          <w:szCs w:val="20"/>
          <w:color w:val="auto"/>
        </w:rPr>
      </w:pPr>
      <w:r>
        <w:rPr>
          <w:rFonts w:ascii="Arial" w:cs="Arial" w:eastAsia="Arial" w:hAnsi="Arial"/>
          <w:sz w:val="18"/>
          <w:szCs w:val="18"/>
          <w:color w:val="auto"/>
        </w:rPr>
        <w:t>Amortization expense – favorable gas gathering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(938)</w:t>
        <w:tab/>
        <w:t>$</w:t>
      </w:r>
      <w:r>
        <w:rPr>
          <w:sz w:val="20"/>
          <w:szCs w:val="20"/>
          <w:color w:val="auto"/>
        </w:rPr>
        <w:tab/>
      </w:r>
      <w:r>
        <w:rPr>
          <w:rFonts w:ascii="Arial" w:cs="Arial" w:eastAsia="Arial" w:hAnsi="Arial"/>
          <w:sz w:val="17"/>
          <w:szCs w:val="17"/>
          <w:color w:val="auto"/>
        </w:rPr>
        <w:t>(1,220)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recognized amortization expense of its contract and right of way intangibles in costs and expenses as follows:</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20"/>
          <w:szCs w:val="20"/>
          <w:color w:val="auto"/>
        </w:rPr>
        <w:t>Year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8"/>
              </w:rPr>
              <w:t>25,694</w:t>
            </w:r>
          </w:p>
        </w:tc>
        <w:tc>
          <w:tcPr>
            <w:tcW w:w="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25,587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980" w:type="dxa"/>
            <w:vAlign w:val="bottom"/>
          </w:tcPr>
          <w:p>
            <w:pPr>
              <w:spacing w:after="0"/>
              <w:rPr>
                <w:sz w:val="20"/>
                <w:szCs w:val="20"/>
                <w:color w:val="auto"/>
              </w:rPr>
            </w:pP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6,175</w:t>
            </w:r>
          </w:p>
        </w:tc>
        <w:tc>
          <w:tcPr>
            <w:tcW w:w="600" w:type="dxa"/>
            <w:vAlign w:val="bottom"/>
          </w:tcPr>
          <w:p>
            <w:pPr>
              <w:spacing w:after="0"/>
              <w:rPr>
                <w:sz w:val="20"/>
                <w:szCs w:val="20"/>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6,278</w:t>
            </w:r>
          </w:p>
        </w:tc>
      </w:tr>
    </w:tbl>
    <w:p>
      <w:pPr>
        <w:spacing w:after="0" w:line="21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Partnership’s estimated aggregate annual amortization expected to be recognized as of December 31, 2020 for each of the five succeeding fiscal years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Intangible assets</w:t>
            </w:r>
          </w:p>
        </w:tc>
      </w:tr>
      <w:tr>
        <w:trPr>
          <w:trHeight w:val="237"/>
        </w:trPr>
        <w:tc>
          <w:tcPr>
            <w:tcW w:w="29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tcPr>
          <w:p>
            <w:pPr>
              <w:jc w:val="right"/>
              <w:ind w:right="101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2021</w:t>
            </w:r>
          </w:p>
        </w:tc>
        <w:tc>
          <w:tcPr>
            <w:tcW w:w="58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28,212</w:t>
            </w:r>
          </w:p>
        </w:tc>
      </w:tr>
      <w:tr>
        <w:trPr>
          <w:trHeight w:val="229"/>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2022</w:t>
            </w:r>
          </w:p>
        </w:tc>
        <w:tc>
          <w:tcPr>
            <w:tcW w:w="5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60" w:type="dxa"/>
            <w:vAlign w:val="bottom"/>
          </w:tcPr>
          <w:p>
            <w:pPr>
              <w:jc w:val="right"/>
              <w:ind w:right="55"/>
              <w:spacing w:after="0"/>
              <w:rPr>
                <w:sz w:val="20"/>
                <w:szCs w:val="20"/>
                <w:color w:val="auto"/>
              </w:rPr>
            </w:pPr>
            <w:r>
              <w:rPr>
                <w:rFonts w:ascii="Arial" w:cs="Arial" w:eastAsia="Arial" w:hAnsi="Arial"/>
                <w:sz w:val="18"/>
                <w:szCs w:val="18"/>
                <w:color w:val="auto"/>
              </w:rPr>
              <w:t>25,145</w:t>
            </w:r>
          </w:p>
        </w:tc>
      </w:tr>
      <w:tr>
        <w:trPr>
          <w:trHeight w:val="230"/>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2023</w:t>
            </w:r>
          </w:p>
        </w:tc>
        <w:tc>
          <w:tcPr>
            <w:tcW w:w="5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25,091</w:t>
            </w:r>
          </w:p>
        </w:tc>
      </w:tr>
      <w:tr>
        <w:trPr>
          <w:trHeight w:val="230"/>
        </w:trPr>
        <w:tc>
          <w:tcPr>
            <w:tcW w:w="2940" w:type="dxa"/>
            <w:vAlign w:val="bottom"/>
          </w:tcPr>
          <w:p>
            <w:pPr>
              <w:jc w:val="right"/>
              <w:ind w:right="2490"/>
              <w:spacing w:after="0"/>
              <w:rPr>
                <w:sz w:val="20"/>
                <w:szCs w:val="20"/>
                <w:color w:val="auto"/>
              </w:rPr>
            </w:pPr>
            <w:r>
              <w:rPr>
                <w:rFonts w:ascii="Arial" w:cs="Arial" w:eastAsia="Arial" w:hAnsi="Arial"/>
                <w:sz w:val="18"/>
                <w:szCs w:val="18"/>
                <w:color w:val="auto"/>
                <w:w w:val="84"/>
              </w:rPr>
              <w:t>2024</w:t>
            </w:r>
          </w:p>
        </w:tc>
        <w:tc>
          <w:tcPr>
            <w:tcW w:w="5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60" w:type="dxa"/>
            <w:vAlign w:val="bottom"/>
          </w:tcPr>
          <w:p>
            <w:pPr>
              <w:jc w:val="right"/>
              <w:ind w:right="55"/>
              <w:spacing w:after="0"/>
              <w:rPr>
                <w:sz w:val="20"/>
                <w:szCs w:val="20"/>
                <w:color w:val="auto"/>
              </w:rPr>
            </w:pPr>
            <w:r>
              <w:rPr>
                <w:rFonts w:ascii="Arial" w:cs="Arial" w:eastAsia="Arial" w:hAnsi="Arial"/>
                <w:sz w:val="18"/>
                <w:szCs w:val="18"/>
                <w:color w:val="auto"/>
              </w:rPr>
              <w:t>14,920</w:t>
            </w:r>
          </w:p>
        </w:tc>
      </w:tr>
      <w:tr>
        <w:trPr>
          <w:trHeight w:val="229"/>
        </w:trPr>
        <w:tc>
          <w:tcPr>
            <w:tcW w:w="2940" w:type="dxa"/>
            <w:vAlign w:val="bottom"/>
            <w:shd w:val="clear" w:color="auto" w:fill="CFF0FC"/>
          </w:tcPr>
          <w:p>
            <w:pPr>
              <w:jc w:val="right"/>
              <w:ind w:right="2490"/>
              <w:spacing w:after="0"/>
              <w:rPr>
                <w:sz w:val="20"/>
                <w:szCs w:val="20"/>
                <w:color w:val="auto"/>
              </w:rPr>
            </w:pPr>
            <w:r>
              <w:rPr>
                <w:rFonts w:ascii="Arial" w:cs="Arial" w:eastAsia="Arial" w:hAnsi="Arial"/>
                <w:sz w:val="18"/>
                <w:szCs w:val="18"/>
                <w:color w:val="auto"/>
                <w:w w:val="84"/>
              </w:rPr>
              <w:t>2025</w:t>
            </w:r>
          </w:p>
        </w:tc>
        <w:tc>
          <w:tcPr>
            <w:tcW w:w="5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14,898</w:t>
            </w:r>
          </w:p>
        </w:tc>
      </w:tr>
      <w:tr>
        <w:trPr>
          <w:trHeight w:val="567"/>
        </w:trPr>
        <w:tc>
          <w:tcPr>
            <w:tcW w:w="2940" w:type="dxa"/>
            <w:vAlign w:val="bottom"/>
          </w:tcPr>
          <w:p>
            <w:pPr>
              <w:spacing w:after="0"/>
              <w:rPr>
                <w:sz w:val="24"/>
                <w:szCs w:val="24"/>
                <w:color w:val="auto"/>
              </w:rPr>
            </w:pPr>
          </w:p>
        </w:tc>
        <w:tc>
          <w:tcPr>
            <w:tcW w:w="5340" w:type="dxa"/>
            <w:vAlign w:val="bottom"/>
          </w:tcPr>
          <w:p>
            <w:pPr>
              <w:jc w:val="right"/>
              <w:ind w:right="2430"/>
              <w:spacing w:after="0"/>
              <w:rPr>
                <w:sz w:val="20"/>
                <w:szCs w:val="20"/>
                <w:color w:val="auto"/>
              </w:rPr>
            </w:pPr>
            <w:r>
              <w:rPr>
                <w:rFonts w:ascii="Arial" w:cs="Arial" w:eastAsia="Arial" w:hAnsi="Arial"/>
                <w:sz w:val="18"/>
                <w:szCs w:val="18"/>
                <w:color w:val="auto"/>
              </w:rPr>
              <w:t>113</w:t>
            </w:r>
          </w:p>
        </w:tc>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Partnership evaluates goodwill whenever events or circumstances indicate that it is more likely than not that the fair value of a reporting unit is less than its carrying value, including goodwill. If the reporting unit’s fair value exceeds its carrying value, including goodwill, the Partnership concludes that the goodwill of the reporting unit has not been impaired and no further work is performed. If it is determined that the reporting unit’s carrying value, including goodwill, exceeds its fair value, an impairment loss is recognized in the amount of the excess of the carrying value over the fair value. The Partnership’s impairment determinations, in the context of (i) its annual impairment evaluations and (ii) other-than-annual impairment evaluations involved significant assumptions and judgments.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September 30, 2019, the Partnership performed its annual goodwill impairment testing for the Mountaineer Midstream reporting unit, a reporting unit included in the Marcellus Shale reportable segment, using a combination of the income and market approaches. It was determined that the fair value of the Mountaineer Midstream reporting unit did not exceed its carrying value, including goodwill. As a result, a goodwill impairment charge of $16.2 million was recorded for the year ended December 31, 2019 that reduced the goodwill balance on the Partnership’s consolidated balance sheet to zero. The Partnership did not have a transaction in 2020 that resulted in the establishment of a goodwill balance.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METHOD INVESTMENTS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Double E. </w:t>
      </w:r>
      <w:r>
        <w:rPr>
          <w:rFonts w:ascii="Arial" w:cs="Arial" w:eastAsia="Arial" w:hAnsi="Arial"/>
          <w:sz w:val="18"/>
          <w:szCs w:val="18"/>
          <w:color w:val="auto"/>
        </w:rPr>
        <w:t>In June 2019, the Partnership formed Double E in connection with (the “Double E Project”). Effective June 26, 2019, Summit Permian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a wholly owned, indirect and consolidated subsidiary of the Partnership, and an affiliate of Double E’s foundation shipper (the “JV Partner”), executed a definitive joint venture agreement (“Double E Agreement”) to fund the capital expenditures associated with the development of the Double E Project. In connection with the Double E Agreement and the related Double E Project, the Partnership contributed total assets of approximately $23.6 million in exchange for a 70% ownership interest in Double E and the JV Partner contributed $7.3 million of cash in exchange for a 30% ownership interest in Double E. Concurrent with these contributions, and in accordance with the Double E Agreement, Double E distributed $7.3 million to the Partnership. Subsequent to the formation of Double E, the Partnership made additional cash investments to Double E of $99.9 million, which includes $2.7 million in capitalized interest, and $18.3 million, which includes $1.1 million in capitalized interest and $0.7 million in capitalized legal costs, in 2020 and 2019, respectively.</w:t>
      </w:r>
    </w:p>
    <w:p>
      <w:pPr>
        <w:spacing w:after="0" w:line="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Double E is deemed to be a variable interest entity as defined in GAAP. As of the date of the Double E Agreement, Summit Permian Transmission was not deemed to be the primary beneficiary of Double E due to the JV Partner’s voting rights on significant matters. The Partnership accounts for its ownership interest in Double E as an equity method investment because it has significant influence over Double E. The Partnership’s portion of Double E’s net assets, which was $132.9 million and $34.7 million at December 31, 2020 and 2019, respectively, is reported under the caption Investment in equity method investees on the consolidated balance sheet.</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December 31, 2020 and 2019, other than the investment activity noted above, Double E did not have any results of operations given that the Double E Project is currently under development.</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 xml:space="preserve">Ohio Gathering. </w:t>
      </w:r>
      <w:r>
        <w:rPr>
          <w:rFonts w:ascii="Arial" w:cs="Arial" w:eastAsia="Arial" w:hAnsi="Arial"/>
          <w:sz w:val="17"/>
          <w:szCs w:val="17"/>
          <w:color w:val="auto"/>
        </w:rPr>
        <w:t>The Partnership has investments in OGC and OCC that it collectively refers to as Ohio Gathering. Ohio Gathering is accounted for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method investment because it has joint control with non-affiliated owners, which gives the Partnership significant influence.</w:t>
      </w:r>
    </w:p>
    <w:p>
      <w:pPr>
        <w:spacing w:after="0" w:line="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 The Partnership made its initial investment in Ohio Gathering in 2014 and owned 38.2% and 38.5% of Ohio Gathering at December 31, 2020 and 2019, respectively.</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December 2019, the Partnership identified certain triggering events which indicated that its equity method investment in Ohio Gathering could be impaired. In accordance with ASC Topic 323, an equity method impairment analysis was performed and determined the equity method impairment charge to be recorded on its consolidated financial statements resulting from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other-than-temporary impairment. As a result of the analysis, an impairment charge of $329.7 million was recorded in 2019 in Loss from equity method investments on the accompanying consolidated statements of operations.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fair value of the Partnership’s investment in Ohio Gathering was determined based upon applying the discounted cash flow method, which is an income approach, and the guideline public company method, which is a market approach. The discounted cash flow fair value estimate is based on known or knowable information at the measurement date. The significant assumptions that were used to develop the estimate of the fair value under the discounted cash flow method include management’s best estimates of the expected future results using a probability weighted average set of cash flow forecasts and a discount rate of approximately 9.0%. Fair value determinations require considerable judgment and are sensitive to changes in underlying assumptions and factors. As such, the fair value of the Ohio Gathering equity method investment represents a Level 3 measurement. As a result, actual results may differ from the estimates and assumptions made for purposes of this impairment analysis.</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Also in December 2019, an impairment loss of long-lived assets was recognized by OCC. Although the Partnership recognized activity for Ohio Gathering on a one-month lag, an impairment loss of $6.3 million was recorded in Loss from equity method investees in the consolidated statements of operations because the information was available to the Partnership.</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the difference between the carrying amount of the Partnership’s interest in Ohio Gathering and the Partnership’s underlying investment in Ohio Gathering, per Ohio Gathering’s books and records, is shown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23"/>
        </w:trPr>
        <w:tc>
          <w:tcPr>
            <w:tcW w:w="6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December 31,</w:t>
            </w:r>
          </w:p>
        </w:tc>
        <w:tc>
          <w:tcPr>
            <w:tcW w:w="22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89"/>
              </w:rPr>
              <w:t>259,888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275,000</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December cash distributions</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2,748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2,700</w:t>
            </w:r>
          </w:p>
        </w:tc>
      </w:tr>
      <w:tr>
        <w:trPr>
          <w:trHeight w:val="229"/>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loss</w:t>
            </w:r>
            <w:r>
              <w:rPr>
                <w:rFonts w:ascii="Arial" w:cs="Arial" w:eastAsia="Arial" w:hAnsi="Arial"/>
                <w:sz w:val="15"/>
                <w:szCs w:val="15"/>
                <w:color w:val="auto"/>
              </w:rPr>
              <w:t>(1)</w:t>
            </w:r>
          </w:p>
        </w:tc>
        <w:tc>
          <w:tcPr>
            <w:tcW w:w="1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232,521</w:t>
            </w:r>
          </w:p>
        </w:tc>
      </w:tr>
      <w:tr>
        <w:trPr>
          <w:trHeight w:val="229"/>
        </w:trPr>
        <w:tc>
          <w:tcPr>
            <w:tcW w:w="6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Basis difference</w:t>
            </w:r>
          </w:p>
        </w:tc>
        <w:tc>
          <w:tcPr>
            <w:tcW w:w="1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9"/>
              </w:rPr>
              <w:t>216,591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(Books and records), November 30,</w:t>
            </w:r>
          </w:p>
        </w:tc>
        <w:tc>
          <w:tcPr>
            <w:tcW w:w="1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89"/>
              </w:rPr>
              <w:t>479,227</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510,221</w:t>
            </w:r>
          </w:p>
        </w:tc>
      </w:tr>
      <w:tr>
        <w:trPr>
          <w:trHeight w:val="20"/>
        </w:trPr>
        <w:tc>
          <w:tcPr>
            <w:tcW w:w="6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40" w:firstLine="8"/>
        <w:spacing w:after="0" w:line="254" w:lineRule="auto"/>
        <w:tabs>
          <w:tab w:leader="none" w:pos="201"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Amount is comprised of (i) a $329.7 million impairment of the Partnership’s equity method investment in Ohio Gathering; (ii) the write-off of the Partnership’s basis difference of $103.5 million in Ohio Gathering as a result of the impairment in the Partnership’s equity method investment in Ohio Gathering; and (iii) a $6.3 million impairment of long-lived assets in OCC.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Summarized balance sheet information for OGC and OCC follows (amounts represent 100% of investee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November 30, 2020</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November 30, 2019</w:t>
            </w:r>
          </w:p>
        </w:tc>
      </w:tr>
      <w:tr>
        <w:trPr>
          <w:trHeight w:val="156"/>
        </w:trPr>
        <w:tc>
          <w:tcPr>
            <w:tcW w:w="6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OGC</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OCC</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OGC</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OCC</w:t>
            </w:r>
          </w:p>
        </w:tc>
      </w:tr>
      <w:tr>
        <w:trPr>
          <w:trHeight w:val="236"/>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32,404</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41,972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2,187</w:t>
            </w: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1,240,090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7"/>
              </w:rPr>
              <w:t>1,281,171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28,323</w:t>
            </w: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9"/>
              </w:rPr>
              <w:t>1,272,494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5,192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7"/>
              </w:rPr>
              <w:t>1,323,143</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30,510</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8,424</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2,982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21,798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4,016</w:t>
            </w: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8,441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5,146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4,113</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6,683</w:t>
            </w: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16,865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8,128</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25,911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10,699</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3"/>
          </w:tcPr>
          <w:p>
            <w:pPr>
              <w:jc w:val="right"/>
              <w:ind w:right="637"/>
              <w:spacing w:after="0"/>
              <w:rPr>
                <w:sz w:val="20"/>
                <w:szCs w:val="20"/>
                <w:color w:val="auto"/>
              </w:rPr>
            </w:pPr>
            <w:r>
              <w:rPr>
                <w:rFonts w:ascii="Arial" w:cs="Arial" w:eastAsia="Arial" w:hAnsi="Arial"/>
                <w:sz w:val="14"/>
                <w:szCs w:val="14"/>
                <w:b w:val="1"/>
                <w:bCs w:val="1"/>
                <w:color w:val="auto"/>
              </w:rPr>
              <w:t>Twelve months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3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November 30, 2020</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November 30, 2019</w:t>
            </w:r>
          </w:p>
        </w:tc>
      </w:tr>
      <w:tr>
        <w:trPr>
          <w:trHeight w:val="155"/>
        </w:trPr>
        <w:tc>
          <w:tcPr>
            <w:tcW w:w="3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OGC</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OCC</w:t>
            </w: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OGC</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OCC</w:t>
            </w:r>
          </w:p>
        </w:tc>
      </w:tr>
      <w:tr>
        <w:trPr>
          <w:trHeight w:val="236"/>
        </w:trPr>
        <w:tc>
          <w:tcPr>
            <w:tcW w:w="3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114,524</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12,931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142,138</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8,601</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103,020</w:t>
            </w:r>
          </w:p>
        </w:tc>
        <w:tc>
          <w:tcPr>
            <w:tcW w:w="40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38,502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108,234</w:t>
            </w:r>
          </w:p>
        </w:tc>
        <w:tc>
          <w:tcPr>
            <w:tcW w:w="38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38,815</w:t>
            </w: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11,496</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33,897</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 These provisions include the following:</w:t>
      </w:r>
    </w:p>
    <w:p>
      <w:pPr>
        <w:spacing w:after="0" w:line="76" w:lineRule="exact"/>
        <w:rPr>
          <w:sz w:val="20"/>
          <w:szCs w:val="20"/>
          <w:color w:val="auto"/>
        </w:rPr>
      </w:pPr>
    </w:p>
    <w:p>
      <w:pPr>
        <w:ind w:left="800" w:right="60" w:hanging="401"/>
        <w:spacing w:after="0" w:line="257"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the Partnership would not receive gathering fees on throughput in excess of that customer's MVC (depending on the terms of the specific gas gathering agreement) to the extent that the customer had made a shortfall payment with respect to one or more preceding measurement periods (as applicable).</w:t>
      </w:r>
    </w:p>
    <w:p>
      <w:pPr>
        <w:spacing w:after="0" w:line="79" w:lineRule="exact"/>
        <w:rPr>
          <w:rFonts w:ascii="Arial" w:cs="Arial" w:eastAsia="Arial" w:hAnsi="Arial"/>
          <w:sz w:val="18"/>
          <w:szCs w:val="18"/>
          <w:color w:val="auto"/>
        </w:rPr>
      </w:pPr>
    </w:p>
    <w:p>
      <w:pPr>
        <w:ind w:left="800" w:right="60" w:hanging="401"/>
        <w:spacing w:after="0" w:line="259"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the Partnership’s MVCs apply will be less than the weighted-average of the originally stated MVC contractual terms.</w:t>
      </w:r>
    </w:p>
    <w:p>
      <w:pPr>
        <w:spacing w:after="0" w:line="78" w:lineRule="exact"/>
        <w:rPr>
          <w:rFonts w:ascii="Arial" w:cs="Arial" w:eastAsia="Arial" w:hAnsi="Arial"/>
          <w:sz w:val="18"/>
          <w:szCs w:val="18"/>
          <w:color w:val="auto"/>
        </w:rPr>
      </w:pPr>
    </w:p>
    <w:p>
      <w:pPr>
        <w:ind w:left="800" w:right="260" w:hanging="401"/>
        <w:spacing w:after="0" w:line="259"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extent that certain of the Partnership’s customers' throughput volumes exceed its MVC for the applicable period, there is a crediting mechanism that allows the customer to build a bank of credits that it can utilize in the future to reduce shortfall payments owed in subsequent periods, subject to expiration if there is no shortfall in subsequent periods. The period over which this credit bank can be applied to future shortfall payments varies, depending on the particular gas gathering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deferred revenue, January 1, 2020</w:t>
            </w:r>
          </w:p>
        </w:tc>
        <w:tc>
          <w:tcPr>
            <w:tcW w:w="50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4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Current deferred revenue, December 31, 2020</w:t>
            </w:r>
          </w:p>
        </w:tc>
        <w:tc>
          <w:tcPr>
            <w:tcW w:w="48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deferred revenue, January 1, 2020</w:t>
            </w:r>
          </w:p>
        </w:tc>
        <w:tc>
          <w:tcPr>
            <w:tcW w:w="50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19,384</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4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9,843</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Noncurrent deferred revenue, December 31, 2020</w:t>
            </w:r>
          </w:p>
        </w:tc>
        <w:tc>
          <w:tcPr>
            <w:tcW w:w="48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48,250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00" w:type="dxa"/>
            <w:vAlign w:val="bottom"/>
            <w:vMerge w:val="restart"/>
          </w:tcPr>
          <w:p>
            <w:pPr>
              <w:jc w:val="right"/>
              <w:ind w:right="3650"/>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0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for the Partnership at December 31, 2020 and 2019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December 31, 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6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4"/>
          </w:tcPr>
          <w:p>
            <w:pPr>
              <w:jc w:val="right"/>
              <w:ind w:right="1432"/>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Revolving Credit Facility</w:t>
            </w:r>
            <w:r>
              <w:rPr>
                <w:rFonts w:ascii="Arial" w:cs="Arial" w:eastAsia="Arial" w:hAnsi="Arial"/>
                <w:sz w:val="18"/>
                <w:szCs w:val="18"/>
                <w:color w:val="auto"/>
              </w:rPr>
              <w:t>: Summit Holdings' variable rate senior secured</w:t>
            </w:r>
          </w:p>
        </w:tc>
        <w:tc>
          <w:tcPr>
            <w:tcW w:w="11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857,000</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677,000</w:t>
            </w:r>
          </w:p>
        </w:tc>
      </w:tr>
      <w:tr>
        <w:trPr>
          <w:trHeight w:val="216"/>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Revolving Credit Facility (2.90% at December 31, 2020 and 4.55% at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due May 2022</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15"/>
        </w:trPr>
        <w:tc>
          <w:tcPr>
            <w:tcW w:w="6440" w:type="dxa"/>
            <w:vAlign w:val="bottom"/>
          </w:tcPr>
          <w:p>
            <w:pPr>
              <w:spacing w:after="0"/>
              <w:rPr>
                <w:sz w:val="20"/>
                <w:szCs w:val="20"/>
                <w:color w:val="auto"/>
              </w:rPr>
            </w:pPr>
            <w:r>
              <w:rPr>
                <w:rFonts w:ascii="Arial" w:cs="Arial" w:eastAsia="Arial" w:hAnsi="Arial"/>
                <w:sz w:val="18"/>
                <w:szCs w:val="18"/>
                <w:b w:val="1"/>
                <w:bCs w:val="1"/>
                <w:color w:val="auto"/>
              </w:rPr>
              <w:t>ECP Loans</w:t>
            </w:r>
            <w:r>
              <w:rPr>
                <w:rFonts w:ascii="Arial" w:cs="Arial" w:eastAsia="Arial" w:hAnsi="Arial"/>
                <w:sz w:val="18"/>
                <w:szCs w:val="18"/>
                <w:color w:val="auto"/>
              </w:rPr>
              <w:t>: Summit Holdings' 8.00% senior secured term loan obtained in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May 2020 and fully repaid in August 2020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5"/>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2022 Senior Notes</w:t>
            </w:r>
            <w:r>
              <w:rPr>
                <w:rFonts w:ascii="Arial" w:cs="Arial" w:eastAsia="Arial" w:hAnsi="Arial"/>
                <w:sz w:val="18"/>
                <w:szCs w:val="18"/>
                <w:color w:val="auto"/>
              </w:rPr>
              <w:t>: Summit Holdings' 5.5% senior unsecured notes due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234,047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300,000</w:t>
            </w: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August 2022</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Less: unamortized debt issuance costs (1)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15"/>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259,463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500,000</w:t>
            </w: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April 2025</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Less: unamortized debt issuance costs (1)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(5,015)</w:t>
            </w:r>
          </w:p>
        </w:tc>
      </w:tr>
      <w:tr>
        <w:trPr>
          <w:trHeight w:val="215"/>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SMPH Term Loan</w:t>
            </w:r>
            <w:r>
              <w:rPr>
                <w:rFonts w:ascii="Arial" w:cs="Arial" w:eastAsia="Arial" w:hAnsi="Arial"/>
                <w:sz w:val="18"/>
                <w:szCs w:val="18"/>
                <w:color w:val="auto"/>
              </w:rPr>
              <w:t>: SMP Holdings' variable rate senior secured term loan</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161,500</w:t>
            </w:r>
          </w:p>
        </w:tc>
      </w:tr>
      <w:tr>
        <w:trPr>
          <w:trHeight w:val="216"/>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(7.80% at December 31, 2019) due May 2022 and extinguished in</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November 2020</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unamortized debt issuance costs (1)</w:t>
            </w: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1,347,326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1,627,825</w:t>
            </w: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w:t>
            </w: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9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1,347,326</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1,622,279</w:t>
            </w:r>
          </w:p>
        </w:tc>
      </w:tr>
      <w:tr>
        <w:trPr>
          <w:trHeight w:val="20"/>
        </w:trPr>
        <w:tc>
          <w:tcPr>
            <w:tcW w:w="6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198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77"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Issuance costs are being amortized over the life of the notes.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0" w:type="dxa"/>
            <w:vAlign w:val="bottom"/>
            <w:gridSpan w:val="3"/>
          </w:tcPr>
          <w:p>
            <w:pPr>
              <w:spacing w:after="0"/>
              <w:rPr>
                <w:sz w:val="20"/>
                <w:szCs w:val="20"/>
                <w:color w:val="auto"/>
              </w:rPr>
            </w:pPr>
            <w:r>
              <w:rPr>
                <w:rFonts w:ascii="Arial" w:cs="Arial" w:eastAsia="Arial" w:hAnsi="Arial"/>
                <w:sz w:val="18"/>
                <w:szCs w:val="18"/>
                <w:color w:val="auto"/>
                <w:w w:val="93"/>
              </w:rPr>
              <w:t>The aggregate amount of Partnership’s debt maturing during each of the years after December 31, 2020 are as follows (in thousands):</w:t>
            </w:r>
          </w:p>
        </w:tc>
        <w:tc>
          <w:tcPr>
            <w:tcW w:w="1240" w:type="dxa"/>
            <w:vAlign w:val="bottom"/>
          </w:tcPr>
          <w:p>
            <w:pPr>
              <w:spacing w:after="0"/>
              <w:rPr>
                <w:sz w:val="18"/>
                <w:szCs w:val="18"/>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56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1,091,047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259,463</w:t>
            </w: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8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long-term debt</w:t>
            </w:r>
          </w:p>
        </w:tc>
        <w:tc>
          <w:tcPr>
            <w:tcW w:w="38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1,350,510</w:t>
            </w:r>
          </w:p>
        </w:tc>
      </w:tr>
      <w:tr>
        <w:trPr>
          <w:trHeight w:val="20"/>
        </w:trPr>
        <w:tc>
          <w:tcPr>
            <w:tcW w:w="5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The Partnership’s subsidiary, Summit Holdings, has a senior secured revolving credit facility (the “Revolving Credit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allows for revolving loans, letters of credit and swingline loans. SMLP and the Guarantor Subsidiaries fully and unconditionally and jointly and severally guarantee, and pledge substantially all of their assets in support of the indebtedness outstanding under the Revolving Credit Facility. At December 31, 2020, the Revolving Credit Facility has a $1.1 billion borrowing capacity and matures in May 2022.</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18, 2020, Summit Holdings entered into the Fourth Amendment to the Third Amended and Restated Credit Agreement which amended the Revolving Credit Facility to: (i) reduce the commitments from $1.25 billion to $1.1 billion; (ii) eliminate the $250.0 million accordion feature; (iii) add a basket for the potential issuance of up to $400.0 million of junior lien indebtedness; (iv) revise restrictions on the Partnership’s ability to use operating cash flow to repurchase junior debt and equity securities; (v) increase the total leverage covenant from 5.50x to 5.75x at all times going forward; (vi) replace the 3.75x senior secured leverage covenant with a new 3.50x first lien leverage covenant; (vii) add a new pricing tier of L + 325 bps if the total leverage ratio is greater than 5.00x; and (viii) restrict the Partnership’s ability to resume distributions on preferred and common units, subject to achieving certain financial and liquidity thresholds.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2.25% or the adjusted Eurodollar rate (as defined in the credit agreement) plus an applicable margin ranging from 1.75% to 3.25%, with the commitment fee ranging from 0.30% to 0.50% in each case based on the Partnership’s relative leverage at the time of determination. At December 31, 2020, the applicable margin under LIBOR borrowings was 2.75%, the interest rate was 2.9% and the unused portion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Revolving Credit Facility totaled $238.9 million, subject to a commitment fee of 0.50%, after giving effect to the issuance thereunder of a $4.1 million outstanding but undrawn irrevocable standby letter of credit. Based on covenant limits, the available borrowing capacity under the Revolving Credit Facility as of December 31, 2020 was approximately $105 million.</w:t>
      </w:r>
    </w:p>
    <w:p>
      <w:pPr>
        <w:spacing w:after="0" w:line="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At December 31, 2020, the Revolving Credit Facility is secured by the membership interests of Summit Holdings and the membership interests of the Guarantor Subsidiaries of Summit Holdings and by substantially all of the assets of Summit Holdings and its Guarantor Subsidiaries (subject to exclusions set forth in the credit agreement). The credit agreement contains affirmative and negative covenants customary for credit facilities of its size and nature that, among other things, limit or restrict the ability (i) to incur additional debt; (ii) to make investments; (iii) to engage in certain mergers, consolidations, acquisitions or sales of assets; (iv) to enter into swap agreements and power purchase agreements; (v) to enter into leases that would cumulatively obligate payments in excess of $50.0 million over any 12 -month period; and (vi) of Summit Holdings to make distributions, with certain exceptions, including the distribution of Available Cash (as defined in the SMLP Partnership Agreement) if no default or event of default then exists or would result therefrom and Summit Holdings is in pro forma compliance with its financial covenants. In addition, the Revolving Credit Facility requires Summit Holdings to maintain</w:t>
      </w:r>
    </w:p>
    <w:p>
      <w:pPr>
        <w:spacing w:after="0" w:line="1" w:lineRule="exact"/>
        <w:rPr>
          <w:sz w:val="20"/>
          <w:szCs w:val="20"/>
          <w:color w:val="auto"/>
        </w:rPr>
      </w:pPr>
    </w:p>
    <w:p>
      <w:pPr>
        <w:ind w:right="80" w:firstLine="8"/>
        <w:spacing w:after="0" w:line="253" w:lineRule="auto"/>
        <w:tabs>
          <w:tab w:leader="none" w:pos="2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ratio of consolidated trailing 12 -month earnings before interest, income taxes, depreciation and amortization ("EBITDA") to net interest expense of not less than 2.5 to 1.0 as defined in the credit agreement, (ii) a ratio of total net indebtedness to consolidated trailing 12 -month EBITDA of not more than 5.75 to 1.00 and, (iii) a ratio of first lien net indebtedness to consolidated trailing 12 -month EBITDA of not more than 3.75 to 1.00. As of December 31, 2020, the Partnership was in compliance with the Revolving Credit Facility's financial covenants and there were no defaults or events of default during the year ended December 31, 2020.</w:t>
      </w:r>
    </w:p>
    <w:p>
      <w:pPr>
        <w:spacing w:after="0" w:line="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2020, the Partnership had $7.4 million of debt issuance costs attributable to its Revolving Credit Facility and related amendments, which are included in Other noncurrent assets on the consolidated balance sheet.</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ECP Loans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28, 2020, in connection with the closing of the GP Buy-In Transaction, Summit Holdings, entered into (i) a Term Loan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“ECP NewCo Term Loan Credit Agreement”), with SMP TopCo, LLC, a Delaware limited liability company and affiliate of ECP (“ECP NewCo”), as lender and administrative agent, and Mizuho Bank (USA) (“Mizuho”), as collateral agent, in a principal amount of $28.2 million (the “ECP NewCo Loan”), and (ii) a Term Loan Credit Agreement (the “ECP Holdings Term Loan Credit Agreement” and together with the ECP NewCo Term Loan Credit Agreement, the “ECP Term Loan Credit Agreements”), with ECP Holdings, as lender, and ECP NewCo, as administrative agent and Mizuho, as collateral agent, in a principal amount of $6.8 million (the “ECP Holdings Loan” and together with the ECP NewCo Loan, the “ECP Loans”). The ECP Loans were set to mature on March 31, 2021 and bore interest at a fixed rate of 8.00% per annum, with the interest payment due at maturity of the ECP Loans. With borrowings under the Partnership’s Revolving Credit Facility, the Partnership fully repaid all amounts outstanding under the ECP Loans ($35 million of principal and $0.6 million of accrued interest) on August 7, 2020.</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2022 Senior Notes. </w:t>
      </w:r>
      <w:r>
        <w:rPr>
          <w:rFonts w:ascii="Arial" w:cs="Arial" w:eastAsia="Arial" w:hAnsi="Arial"/>
          <w:sz w:val="16"/>
          <w:szCs w:val="16"/>
          <w:color w:val="auto"/>
        </w:rPr>
        <w:t>In July 2014, the Co-Issuers co-issued the 2022 Senior Notes. The Partnership pays interest on the 2022 Senior Notes semi-annually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in arrears on February 15 and August 15 of each year. The 2022 Senior Notes are senior, unsecured obligations and rank equally in right of payment with all of our existing and future senior obligations. The 2022 Senior Notes are effectively subordinated in right of payment to all secured indebtedness, to the extent of the collateral securing such indebtedness. The Co-Issuers may redeem all or part of the 2022 Senior Notes at a redemption price of 100.000%, plus accrued and unpaid interest, if any. Debt issuance costs of $5.1 million are being amortized over the life of the 2022 Senior Notes. As of and during the year ended December 31, 2020, we were in compliance with the financial covenants governing its 2022 Senior Notes.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2025 Senior Notes. </w:t>
      </w:r>
      <w:r>
        <w:rPr>
          <w:rFonts w:ascii="Arial" w:cs="Arial" w:eastAsia="Arial" w:hAnsi="Arial"/>
          <w:sz w:val="18"/>
          <w:szCs w:val="18"/>
          <w:color w:val="auto"/>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Co-Issuers have the right to redeem all or part of the 2025 Senior Notes at a redemption price of 104.313%. On and after April 15, 2021, the Co-Issuers may redeem all or part of the 2025 Senior Notes at a redemption price of 102.875% (with the redemption price declining ratably each year to 100.000% on April 15, 2023), plus accrued and unpaid interest, if any, to, but not including, the redemption date. Debt issuance costs of $7.7 million are being amortized over the life of the 2025 Senior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As of and during the year ended December 31, 2020, that Partnership was in compliance with the financial covenants governing its 2025 Senior Notes.</w:t>
      </w:r>
    </w:p>
    <w:p>
      <w:pPr>
        <w:spacing w:after="0" w:line="14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 xml:space="preserve">SMPH Term Loan and TL Restructuring. </w:t>
      </w:r>
      <w:r>
        <w:rPr>
          <w:rFonts w:ascii="Arial" w:cs="Arial" w:eastAsia="Arial" w:hAnsi="Arial"/>
          <w:sz w:val="17"/>
          <w:szCs w:val="17"/>
          <w:color w:val="auto"/>
        </w:rPr>
        <w:t>Until November 17, 2020, a subsidiary of the Partnership, SMP Holdings, had a senior secured term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with $155.2 million of principal outstanding and a maturity date of May 15, 2022. Borrowings under the SMPH Term Loan bore interest at LIBOR plus 6.00% or ABR plus 5.00%, as defined in the SMPH Term Loan, and were secured by the following collateral: (i) a perfected first-priority lien on, and pledge of (a) all of the capital stock issued by SMP Holdings, (b) 2.3 million SMLP units owned by SMP Holdings, (c) all of the equity interests owned by SMP Holdings in the General Partner, and (ii) substantially all other personal property of SMP Holdings.</w:t>
      </w:r>
    </w:p>
    <w:p>
      <w:pPr>
        <w:spacing w:after="0" w:line="68"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On September 29, 2020, SMP Holdings, Summit Investments and, for limited purposes, the Partnership, entered into the TL Restructuring. At the closing of the TL Restructuring on November 17, 2020, the Term Loan Agent executed a Strict Foreclosure on behalf of the Term Loan Lenders on the 2,306,972 common units held by SMP Holdings and pledged as collateral under the SMPH Term Loan, which was then distributed to all SMPH Term Loan Lenders on a pro rata basis. In addition to the Strict Foreclosure, SMP Holdings paid to each of the SMPH Term Loan Lenders its pro rata share of $26.5 million in cash that the Partnership paid to SMP Holdings to fully satisfy its obligation with respect to the deferred purchased price obligation.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SMPH Term Loan is fully satisfied and no longer exists.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LIABILITY MANAGEMENT TRANSACTIONS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 ended December 31, 2020, the Partnership and its subsidiaries completed several liability management transactions, described below, that resulted in the early extinguishment of an aggregate $306.5 million face value of the Partnership’s indebtedness.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Open Market Repurchases. </w:t>
      </w:r>
      <w:r>
        <w:rPr>
          <w:rFonts w:ascii="Arial" w:cs="Arial" w:eastAsia="Arial" w:hAnsi="Arial"/>
          <w:sz w:val="18"/>
          <w:szCs w:val="18"/>
          <w:color w:val="auto"/>
        </w:rPr>
        <w:t>During the year ended December 31, 2020, the Partnership made a number of open market repurchases of the 2022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and 2025 Senior Notes that resulted in the extinguishment of $32.4 million of face value of the 2022 Senior Notes and $201.8 million of face value of the 2025 Senior Notes (the “Open Market Repurchases”). Total cash consideration paid to repurchase the principal amounts outstanding of the 2022 Senior Notes and 2025 Senior Notes, plus accrued interest totaled $150.3 million and the Partnership recognized a $86.4 million gain on the early extinguishment of debt during the year ended December 31, 2020.</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Debt Tender Offers. </w:t>
      </w:r>
      <w:r>
        <w:rPr>
          <w:rFonts w:ascii="Arial" w:cs="Arial" w:eastAsia="Arial" w:hAnsi="Arial"/>
          <w:sz w:val="18"/>
          <w:szCs w:val="18"/>
          <w:color w:val="auto"/>
        </w:rPr>
        <w:t>In September 2020, the Co-Issuers completed the Debt Tender Offers to purchase a portion of the 2022 Senior Notes and 2025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Upon concluding the Debt Tender Offers, the Co-Issuers repurchased $33.5 million principal amount of the 2022 Senior Notes and $38.7 million principal amount of the 2025 Senior Notes. Total cash consideration paid to repurchase the principal amounts outstanding of the 2022 and 2025 Senior Notes, plus accrued interest, totaled $48.7 million, and the Partnership recognized a $23.3 million gain on the early extinguishment of debt during the year ended December 31, 2020.</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SMPH Term Loan Restructuring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17, 2020, the Partnership completed the TL Restructuring and recognized a gain of $94.0 million equal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difference between the face value of the cancelled SMPH Term Loan and the fair value of the total consideration transferred, including unamortized debt issuance costs, and certain direct transaction costs related to the restructuring. The transaction was accounted for under ASC Topic 470-60 </w:t>
      </w:r>
      <w:r>
        <w:rPr>
          <w:rFonts w:ascii="Arial" w:cs="Arial" w:eastAsia="Arial" w:hAnsi="Arial"/>
          <w:sz w:val="18"/>
          <w:szCs w:val="18"/>
          <w:i w:val="1"/>
          <w:iCs w:val="1"/>
          <w:color w:val="auto"/>
        </w:rPr>
        <w:t>“Troubled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Restructuring with Debtors” </w:t>
      </w:r>
      <w:r>
        <w:rPr>
          <w:rFonts w:ascii="Arial" w:cs="Arial" w:eastAsia="Arial" w:hAnsi="Arial"/>
          <w:sz w:val="18"/>
          <w:szCs w:val="18"/>
          <w:color w:val="auto"/>
        </w:rPr>
        <w:t>and had a total impact of $26.15 per share.</w:t>
      </w:r>
    </w:p>
    <w:p>
      <w:pPr>
        <w:spacing w:after="0" w:line="76" w:lineRule="exact"/>
        <w:rPr>
          <w:sz w:val="20"/>
          <w:szCs w:val="20"/>
          <w:color w:val="auto"/>
        </w:rPr>
      </w:pPr>
    </w:p>
    <w:p>
      <w:pPr>
        <w:ind w:right="780"/>
        <w:spacing w:after="0" w:line="258" w:lineRule="auto"/>
        <w:rPr>
          <w:sz w:val="20"/>
          <w:szCs w:val="20"/>
          <w:color w:val="auto"/>
        </w:rPr>
      </w:pPr>
      <w:r>
        <w:rPr>
          <w:rFonts w:ascii="Arial" w:cs="Arial" w:eastAsia="Arial" w:hAnsi="Arial"/>
          <w:sz w:val="18"/>
          <w:szCs w:val="18"/>
          <w:b w:val="1"/>
          <w:bCs w:val="1"/>
          <w:i w:val="1"/>
          <w:iCs w:val="1"/>
          <w:color w:val="auto"/>
        </w:rPr>
        <w:t xml:space="preserve">Summary of gain on extinguishment of debt. </w:t>
      </w:r>
      <w:r>
        <w:rPr>
          <w:rFonts w:ascii="Arial" w:cs="Arial" w:eastAsia="Arial" w:hAnsi="Arial"/>
          <w:sz w:val="18"/>
          <w:szCs w:val="18"/>
          <w:color w:val="auto"/>
        </w:rPr>
        <w:t>The Partnership recognized a $203.1 million gain on extinguishment of debt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 components of which are summarized in the table below.</w:t>
      </w:r>
    </w:p>
    <w:tbl>
      <w:tblPr>
        <w:tblLayout w:type="fixed"/>
        <w:tblInd w:w="0" w:type="dxa"/>
        <w:tblCellMar>
          <w:top w:w="0" w:type="dxa"/>
          <w:left w:w="0" w:type="dxa"/>
          <w:bottom w:w="0" w:type="dxa"/>
          <w:right w:w="0" w:type="dxa"/>
        </w:tblCellMar>
      </w:tblPr>
      <w:tr>
        <w:trPr>
          <w:trHeight w:val="141"/>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ECP Loan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Open Market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47"/>
              <w:spacing w:after="0" w:line="141" w:lineRule="exact"/>
              <w:rPr>
                <w:sz w:val="20"/>
                <w:szCs w:val="20"/>
                <w:color w:val="auto"/>
              </w:rPr>
            </w:pPr>
            <w:r>
              <w:rPr>
                <w:rFonts w:ascii="Arial" w:cs="Arial" w:eastAsia="Arial" w:hAnsi="Arial"/>
                <w:sz w:val="14"/>
                <w:szCs w:val="14"/>
                <w:b w:val="1"/>
                <w:bCs w:val="1"/>
                <w:color w:val="auto"/>
              </w:rPr>
              <w:t>Tender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rPr>
              <w:t>TL</w:t>
            </w:r>
          </w:p>
        </w:tc>
        <w:tc>
          <w:tcPr>
            <w:tcW w:w="20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Repayment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Repurchases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Offers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Restructuring</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2025</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b w:val="1"/>
                <w:bCs w:val="1"/>
                <w:color w:val="auto"/>
                <w:w w:val="94"/>
              </w:rPr>
              <w:t>Senior Notes</w:t>
            </w:r>
          </w:p>
        </w:tc>
        <w:tc>
          <w:tcPr>
            <w:tcW w:w="14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4"/>
              </w:rPr>
              <w:t>Senior Notes</w:t>
            </w:r>
          </w:p>
        </w:tc>
        <w:tc>
          <w:tcPr>
            <w:tcW w:w="14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b w:val="1"/>
                <w:bCs w:val="1"/>
                <w:color w:val="auto"/>
                <w:w w:val="94"/>
              </w:rPr>
              <w:t>Senior Notes</w:t>
            </w:r>
          </w:p>
        </w:tc>
        <w:tc>
          <w:tcPr>
            <w:tcW w:w="14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4"/>
              </w:rPr>
              <w:t>Senior Notes</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6"/>
              <w:spacing w:after="0"/>
              <w:rPr>
                <w:sz w:val="20"/>
                <w:szCs w:val="20"/>
                <w:color w:val="auto"/>
              </w:rPr>
            </w:pPr>
            <w:r>
              <w:rPr>
                <w:rFonts w:ascii="Arial" w:cs="Arial" w:eastAsia="Arial" w:hAnsi="Arial"/>
                <w:sz w:val="18"/>
                <w:szCs w:val="18"/>
                <w:color w:val="auto"/>
              </w:rPr>
              <w:t>99,175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20"/>
                <w:szCs w:val="20"/>
                <w:color w:val="auto"/>
              </w:rPr>
            </w:pPr>
            <w:r>
              <w:rPr>
                <w:rFonts w:ascii="Arial" w:cs="Arial" w:eastAsia="Arial" w:hAnsi="Arial"/>
                <w:sz w:val="18"/>
                <w:szCs w:val="18"/>
                <w:color w:val="auto"/>
                <w:w w:val="96"/>
              </w:rPr>
              <w:t>Gain on Repurchases of Senior</w:t>
            </w:r>
          </w:p>
        </w:tc>
        <w:tc>
          <w:tcPr>
            <w:tcW w:w="120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11,554</w:t>
            </w:r>
          </w:p>
        </w:tc>
        <w:tc>
          <w:tcPr>
            <w:tcW w:w="14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76,789</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9,223</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15,479</w:t>
            </w:r>
          </w:p>
        </w:tc>
        <w:tc>
          <w:tcPr>
            <w:tcW w:w="2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212,220</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Notes and TL Restructuring</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Debt issue costs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(361)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Gain (loss) on debt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(610)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11,306</w:t>
            </w: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75,143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8,631</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14,661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93,931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203,062</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extinguishment</w:t>
            </w: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3"/>
          </w:tcPr>
          <w:p>
            <w:pPr>
              <w:jc w:val="right"/>
              <w:ind w:right="574"/>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2015, the Partnership learned of the rupture of a four-inch produced water gathering pipeline on the Meadowlark Midstream system near Williston, North Dakota (“Meadowlark Rupture”). The Meadowlark Rupture, which was covered by Summit Investments’ insurance policies, was subject to maximum coverage of $25.0 million from its pollution liability insurance policy and $200.0 million from its property and business interruption insurance policy. The pollution liability policy was exhausted in 2015. Prior to the GP Buy-In Transaction, Summit Investments and SMP Holdings indemnified the Partnership for certain obligations and liabilities related to the incident. As a result of the GP Buy-In Transaction, the Partnership is no longer indemnified for these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Partnership’s undiscounted accrued environmental remediation liabilities related to the Meadowlark Rupture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23"/>
        </w:trPr>
        <w:tc>
          <w:tcPr>
            <w:tcW w:w="9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(In thousands)</w:t>
            </w: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January 1, 2019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5,636</w:t>
            </w:r>
          </w:p>
        </w:tc>
      </w:tr>
      <w:tr>
        <w:trPr>
          <w:trHeight w:val="229"/>
        </w:trPr>
        <w:tc>
          <w:tcPr>
            <w:tcW w:w="9520" w:type="dxa"/>
            <w:vAlign w:val="bottom"/>
          </w:tcPr>
          <w:p>
            <w:pPr>
              <w:ind w:left="140"/>
              <w:spacing w:after="0"/>
              <w:rPr>
                <w:sz w:val="20"/>
                <w:szCs w:val="20"/>
                <w:color w:val="auto"/>
              </w:rPr>
            </w:pPr>
            <w:r>
              <w:rPr>
                <w:rFonts w:ascii="Arial" w:cs="Arial" w:eastAsia="Arial" w:hAnsi="Arial"/>
                <w:sz w:val="18"/>
                <w:szCs w:val="18"/>
                <w:color w:val="auto"/>
              </w:rPr>
              <w:t>Payments made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9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accruals</w:t>
            </w: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1,299</w:t>
            </w:r>
          </w:p>
        </w:tc>
      </w:tr>
      <w:tr>
        <w:trPr>
          <w:trHeight w:val="223"/>
        </w:trPr>
        <w:tc>
          <w:tcPr>
            <w:tcW w:w="952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December 31, 2019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4,651</w:t>
            </w:r>
          </w:p>
        </w:tc>
      </w:tr>
      <w:tr>
        <w:trPr>
          <w:trHeight w:val="230"/>
        </w:trPr>
        <w:tc>
          <w:tcPr>
            <w:tcW w:w="9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w:t>
            </w:r>
          </w:p>
        </w:tc>
      </w:tr>
      <w:tr>
        <w:trPr>
          <w:trHeight w:val="223"/>
        </w:trPr>
        <w:tc>
          <w:tcPr>
            <w:tcW w:w="952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December 31, 2020</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As of December 31, 2020, the Partnership has recognized (i) a current liability for remediation effort expenditures expected to be incurred within the next 12 months and (ii) a noncurrent liability for estimated remediation expenditures expected to be incurred subsequent to December 31, 2021. Each of these amounts represent the Partnership’s best estimate for costs expected to be incurred. Neither of these amounts have been discounted to its present value.</w:t>
      </w:r>
    </w:p>
    <w:p>
      <w:pPr>
        <w:spacing w:after="0" w:line="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Beginning in 2015, the U.S. Department of Justice (“DOJ”) issued grand jury subpoenas to Summit Investments, the Partnership, our General Partner and Meadowlark Midstream requesting certain materials related to the Meadowlark Rupture. On June 19, 2015, Meadowlark Midstream and Summit Investments received a complaint from the North Dakota Industrial Commission seeking approximately $2.5 million in fines and other fees related to the incident. This matter is also under investigation by the U.S. Environmental Protection Agency, the North Dakota Office of the Attorney General, the North Dakota Department of Environmental Quality, and the North Dakota Game and Fish Department. The government’s investigation is still ongoing. During this time, the Partnership has entered into tolling agreements with both the DOJ and the North Dakota attorney general, which were most recently extended to May 7, 2021. There can be no assurance that these tolling agreements will be extended. Discussions with the DOJ and other agencies regarding a resolution of this matter are ongoing. Liability for this incident could arise under civil and misdemeanor and felony criminal statutes, including the Clean Water Act. In accordance with GAAP, the Partnership has accrued a $17.0 million loss contingency for this matter as of December 31, 2020. While the Partnership believes a loss for claims and/or actions arising from the Meadowlark Rupture, whether in a negotiated settlement or as a result of litigation, is probable, due to the complexity of resolving the numerous issues surrounding this matter, at this time we cannot reasonably predict whether any actual loss, if incurred, would be materially higher or lower than the accrued amount.</w:t>
      </w:r>
    </w:p>
    <w:p>
      <w:pPr>
        <w:spacing w:after="0" w:line="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 In the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the Partnership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restricted cash and accounts receivable. The Partnership maintains its cash and cash equivalents and restricted cash in bank deposit accounts that frequently exceed federally insured limits. The Partnership has not experienced any losses in such accounts and does not believe it is exposed to any significant risk.</w:t>
      </w:r>
    </w:p>
    <w:p>
      <w:pPr>
        <w:spacing w:after="0" w:line="7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Accounts receivable primarily comprise amounts due for the gathering, compression, treating and processing services the Partnership provides to its customers and also the sale of natural gas liquids resulting from its processing services. This industry concentration has the potential to impact its overall exposure to credit risk, either positively or negatively, in that the Partnerships customers may be similarly affected by changes in economic, industry or other conditions. The Partnership monitors the creditworthiness of its counterparties and can require letters of credit or other forms of credit assurance for receivables from counterparties that are judged to have substandard credit, unless the credit risk can otherwise be mitigated. The Partnerships top five customers or counterparties accounted for 51% of its total accounts receivable at December 31, 2020, compared to 46% as of December 31, 2019.</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restricted cash, accounts receivable and trade accounts payable reported on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approximates fair value due to their short-term maturities.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the Partnerships debt financial instruments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2520" w:type="dxa"/>
            <w:vAlign w:val="bottom"/>
            <w:gridSpan w:val="3"/>
          </w:tcPr>
          <w:p>
            <w:pPr>
              <w:ind w:left="420"/>
              <w:spacing w:after="0"/>
              <w:rPr>
                <w:sz w:val="20"/>
                <w:szCs w:val="20"/>
                <w:color w:val="auto"/>
              </w:rPr>
            </w:pPr>
            <w:r>
              <w:rPr>
                <w:rFonts w:ascii="Arial" w:cs="Arial" w:eastAsia="Arial" w:hAnsi="Arial"/>
                <w:sz w:val="18"/>
                <w:szCs w:val="18"/>
                <w:b w:val="1"/>
                <w:bCs w:val="1"/>
                <w:color w:val="auto"/>
              </w:rPr>
              <w:t>December 31, 2019</w:t>
            </w:r>
          </w:p>
        </w:tc>
      </w:tr>
      <w:tr>
        <w:trPr>
          <w:trHeight w:val="205"/>
        </w:trPr>
        <w:tc>
          <w:tcPr>
            <w:tcW w:w="5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72"/>
              <w:spacing w:after="0" w:line="205"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fair value</w:t>
            </w:r>
          </w:p>
        </w:tc>
        <w:tc>
          <w:tcPr>
            <w:tcW w:w="1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fair value</w:t>
            </w:r>
          </w:p>
        </w:tc>
      </w:tr>
      <w:tr>
        <w:trPr>
          <w:trHeight w:val="234"/>
        </w:trPr>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 Net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 Net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(Level 2)</w:t>
            </w:r>
          </w:p>
        </w:tc>
      </w:tr>
      <w:tr>
        <w:trPr>
          <w:trHeight w:val="220"/>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4"/>
          </w:tcPr>
          <w:p>
            <w:pPr>
              <w:ind w:left="6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2022 Senior Notes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233,188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215,713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298,314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266,750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2025 Senior Notes</w:t>
            </w:r>
          </w:p>
        </w:tc>
        <w:tc>
          <w:tcPr>
            <w:tcW w:w="120" w:type="dxa"/>
            <w:vAlign w:val="bottom"/>
          </w:tcPr>
          <w:p>
            <w:pPr>
              <w:spacing w:after="0"/>
              <w:rPr>
                <w:sz w:val="20"/>
                <w:szCs w:val="20"/>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257,138</w:t>
            </w: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168,002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494,985</w:t>
            </w:r>
          </w:p>
        </w:tc>
        <w:tc>
          <w:tcPr>
            <w:tcW w:w="2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382,708</w:t>
            </w:r>
          </w:p>
        </w:tc>
      </w:tr>
    </w:tbl>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fair value for the Senior Notes is based on an average of nonbinding broker quotes as of December 31, 2020 and 2019. The use of different market assumptions or valuation methodologies may have a material effect on the estimated fair value of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AND MEZZANINE CAPITAL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In March 2019, and prior to the GP Buy-In Transaction, a subsidiary of Summit Investments cancelled its incentive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agreement with SMLP and converted its 2% economic general partner interest to a non-economic general partner interest in exchange for 0.6 million SMLP common units. This exchange is reflected in the Consolidated Statements of Partners’ Capital as a reduction to noncontrolling interest and an increase to Partners’ Capital.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Common Units. </w:t>
      </w:r>
      <w:r>
        <w:rPr>
          <w:rFonts w:ascii="Arial" w:cs="Arial" w:eastAsia="Arial" w:hAnsi="Arial"/>
          <w:sz w:val="17"/>
          <w:szCs w:val="17"/>
          <w:color w:val="auto"/>
        </w:rPr>
        <w:t>A rollforward of the number of common limited partner units follows for the period from December 31, 2018 to December 31, 2020.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Units, December 31, 2018</w:t>
            </w:r>
          </w:p>
        </w:tc>
        <w:tc>
          <w:tcPr>
            <w:tcW w:w="1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Common Units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9340" w:type="dxa"/>
            <w:vAlign w:val="bottom"/>
            <w:vMerge w:val="continue"/>
          </w:tcPr>
          <w:p>
            <w:pPr>
              <w:spacing w:after="0"/>
              <w:rPr>
                <w:sz w:val="19"/>
                <w:szCs w:val="19"/>
                <w:color w:val="auto"/>
              </w:rPr>
            </w:pP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3,021,258</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activity</w:t>
            </w:r>
          </w:p>
        </w:tc>
        <w:tc>
          <w:tcPr>
            <w:tcW w:w="1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Units, December 31, 2019</w:t>
            </w: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3,021,258</w:t>
            </w:r>
          </w:p>
        </w:tc>
        <w:tc>
          <w:tcPr>
            <w:tcW w:w="0" w:type="dxa"/>
            <w:vAlign w:val="bottom"/>
          </w:tcPr>
          <w:p>
            <w:pPr>
              <w:spacing w:after="0"/>
              <w:rPr>
                <w:sz w:val="1"/>
                <w:szCs w:val="1"/>
                <w:color w:val="auto"/>
              </w:rPr>
            </w:pPr>
          </w:p>
        </w:tc>
      </w:tr>
      <w:tr>
        <w:trPr>
          <w:trHeight w:val="229"/>
        </w:trPr>
        <w:tc>
          <w:tcPr>
            <w:tcW w:w="9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GP Buy-In Transaction</w:t>
            </w:r>
            <w:r>
              <w:rPr>
                <w:rFonts w:ascii="Arial" w:cs="Arial" w:eastAsia="Arial" w:hAnsi="Arial"/>
                <w:sz w:val="15"/>
                <w:szCs w:val="15"/>
                <w:color w:val="auto"/>
              </w:rPr>
              <w:t>(1)</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(132,687)</w:t>
            </w:r>
          </w:p>
        </w:tc>
        <w:tc>
          <w:tcPr>
            <w:tcW w:w="0" w:type="dxa"/>
            <w:vAlign w:val="bottom"/>
          </w:tcPr>
          <w:p>
            <w:pPr>
              <w:spacing w:after="0"/>
              <w:rPr>
                <w:sz w:val="1"/>
                <w:szCs w:val="1"/>
                <w:color w:val="auto"/>
              </w:rPr>
            </w:pPr>
          </w:p>
        </w:tc>
      </w:tr>
      <w:tr>
        <w:trPr>
          <w:trHeight w:val="230"/>
        </w:trPr>
        <w:tc>
          <w:tcPr>
            <w:tcW w:w="9340" w:type="dxa"/>
            <w:vAlign w:val="bottom"/>
          </w:tcPr>
          <w:p>
            <w:pPr>
              <w:ind w:left="140"/>
              <w:spacing w:after="0"/>
              <w:rPr>
                <w:sz w:val="20"/>
                <w:szCs w:val="20"/>
                <w:color w:val="auto"/>
              </w:rPr>
            </w:pPr>
            <w:r>
              <w:rPr>
                <w:rFonts w:ascii="Arial" w:cs="Arial" w:eastAsia="Arial" w:hAnsi="Arial"/>
                <w:sz w:val="18"/>
                <w:szCs w:val="18"/>
                <w:color w:val="auto"/>
              </w:rPr>
              <w:t>Common units issued for SMLP LTIP, net</w:t>
            </w: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95,987</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TL Restructuring (Note 9)</w:t>
            </w:r>
          </w:p>
        </w:tc>
        <w:tc>
          <w:tcPr>
            <w:tcW w:w="1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2,306,972</w:t>
            </w:r>
          </w:p>
        </w:tc>
        <w:tc>
          <w:tcPr>
            <w:tcW w:w="0" w:type="dxa"/>
            <w:vAlign w:val="bottom"/>
          </w:tcPr>
          <w:p>
            <w:pPr>
              <w:spacing w:after="0"/>
              <w:rPr>
                <w:sz w:val="1"/>
                <w:szCs w:val="1"/>
                <w:color w:val="auto"/>
              </w:rPr>
            </w:pPr>
          </w:p>
        </w:tc>
      </w:tr>
      <w:tr>
        <w:trPr>
          <w:trHeight w:val="230"/>
        </w:trPr>
        <w:tc>
          <w:tcPr>
            <w:tcW w:w="9340" w:type="dxa"/>
            <w:vAlign w:val="bottom"/>
          </w:tcPr>
          <w:p>
            <w:pPr>
              <w:ind w:left="140"/>
              <w:spacing w:after="0"/>
              <w:rPr>
                <w:sz w:val="20"/>
                <w:szCs w:val="20"/>
                <w:color w:val="auto"/>
              </w:rPr>
            </w:pPr>
            <w:r>
              <w:rPr>
                <w:rFonts w:ascii="Arial" w:cs="Arial" w:eastAsia="Arial" w:hAnsi="Arial"/>
                <w:sz w:val="18"/>
                <w:szCs w:val="18"/>
                <w:color w:val="auto"/>
              </w:rPr>
              <w:t>Series A Preferred Unit Exchange Offer, net of shares withheld for taxes</w:t>
            </w: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817,845</w:t>
            </w:r>
          </w:p>
        </w:tc>
        <w:tc>
          <w:tcPr>
            <w:tcW w:w="0" w:type="dxa"/>
            <w:vAlign w:val="bottom"/>
          </w:tcPr>
          <w:p>
            <w:pPr>
              <w:spacing w:after="0"/>
              <w:rPr>
                <w:sz w:val="1"/>
                <w:szCs w:val="1"/>
                <w:color w:val="auto"/>
              </w:rPr>
            </w:pPr>
          </w:p>
        </w:tc>
      </w:tr>
      <w:tr>
        <w:trPr>
          <w:trHeight w:val="229"/>
        </w:trPr>
        <w:tc>
          <w:tcPr>
            <w:tcW w:w="9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Units, December 31, 2020</w:t>
            </w:r>
          </w:p>
        </w:tc>
        <w:tc>
          <w:tcPr>
            <w:tcW w:w="1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6,110,092</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00" w:firstLine="8"/>
        <w:spacing w:after="0" w:line="254" w:lineRule="auto"/>
        <w:tabs>
          <w:tab w:leader="none" w:pos="201"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The purchase price for the SMLP common units reflected in the consolidated statement of partners’ capital for the year ended December 31, 2020 is comprised of the (i) the $35.0 million cash payment to ECP, (ii) the $2.3 million fair value for the issuance of 0.7 million warrants, and (iii) $6.8 million of advisory fees and other direct costs related to closing the GP Buy-In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As adjusted for reverse unit split.</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November 2017, the Partnership issued 300,000 Series A Fixed-to-Floating Rate Cumulative Redeemable Perpetual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(the “Series A Preferred Units”) representing limited partner interests in the Partnership at a price to the public of $1,000 per unit. The Partnership used the net proceeds of $293.2 million (after deducting underwriting discounts and offering expenses) to repay outstanding borrowings under the Revolving Credit Facility.</w:t>
      </w:r>
    </w:p>
    <w:p>
      <w:pPr>
        <w:spacing w:after="0" w:line="8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Series A Preferred Units rank senior to (i) common units representing limited partner interests in the Partnership and (ii) each other class or series of limited partner interests or other equity securities in the Partnership that may be established in the future that expressly ranks junior to the Series A Preferred Units as to the payment of distributions and amounts payable upon a liquidation event (the “Junior Securities”). The Series A Preferred Units rank equal in all respects with each class or series of limited partner interests or other equity securities in the Partnership that may be established in the future that is not expressly made senior or subordinated to the Series A Preferred Units as to the payment of distributions and amounts payable on a liquidation event (the “Parity Securities”). The Series A Preferred Units rank junior to (i) all of the Partnership’s existing and future indebtedness and other liabilities with respect to assets available to satisfy claims against the Partnership and (ii) each other class or series of limited partner interests or other equity securities in the Partnership established in the future that is expressly made senior to the Series A Preferred Units as to the payment of distributions and amounts payable upon a liquidation event. Income is allocated to the Series A Preferred Units in an amount equal to the earned distributions (whether these distributions are declared by the General Partner to be paid or not) for the respective reporting period.</w:t>
      </w:r>
    </w:p>
    <w:p>
      <w:pPr>
        <w:spacing w:after="0" w:line="6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w:t>
      </w:r>
    </w:p>
    <w:p>
      <w:pPr>
        <w:spacing w:after="0" w:line="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GP Buy-In Transaction, the Partnership suspended its distributions to be paid to holders of its Series A Preferred Units, commencing with respect to the quarter ending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Series A Preferred Units follows for the period from December 31, 2018 to December 31, 2020.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Series A</w:t>
            </w:r>
          </w:p>
        </w:tc>
      </w:tr>
      <w:tr>
        <w:trPr>
          <w:trHeight w:val="234"/>
        </w:trPr>
        <w:tc>
          <w:tcPr>
            <w:tcW w:w="9360" w:type="dxa"/>
            <w:vAlign w:val="bottom"/>
          </w:tcPr>
          <w:p>
            <w:pPr>
              <w:spacing w:after="0"/>
              <w:rPr>
                <w:sz w:val="20"/>
                <w:szCs w:val="20"/>
                <w:color w:val="auto"/>
              </w:rPr>
            </w:pPr>
          </w:p>
        </w:tc>
        <w:tc>
          <w:tcPr>
            <w:tcW w:w="1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Preferred Units</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Series A Preferred Units, December 31, 2018</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r>
        <w:trPr>
          <w:trHeight w:val="230"/>
        </w:trPr>
        <w:tc>
          <w:tcPr>
            <w:tcW w:w="9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activity</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Series A Preferred Units, December 31, 2019</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r>
        <w:trPr>
          <w:trHeight w:val="230"/>
        </w:trPr>
        <w:tc>
          <w:tcPr>
            <w:tcW w:w="9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A Preferred Unit Exchange Offer</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(62,816)</w:t>
            </w:r>
          </w:p>
        </w:tc>
      </w:tr>
      <w:tr>
        <w:trPr>
          <w:trHeight w:val="229"/>
        </w:trPr>
        <w:tc>
          <w:tcPr>
            <w:tcW w:w="9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Series A Preferred Unit Tender</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(75,075)</w:t>
            </w:r>
          </w:p>
        </w:tc>
      </w:tr>
      <w:tr>
        <w:trPr>
          <w:trHeight w:val="223"/>
        </w:trPr>
        <w:tc>
          <w:tcPr>
            <w:tcW w:w="9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Series A Preferred Units, December 31, 2020</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162,109</w:t>
            </w:r>
          </w:p>
        </w:tc>
      </w:tr>
      <w:tr>
        <w:trPr>
          <w:trHeight w:val="20"/>
        </w:trPr>
        <w:tc>
          <w:tcPr>
            <w:tcW w:w="9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i w:val="1"/>
          <w:iCs w:val="1"/>
          <w:color w:val="auto"/>
        </w:rPr>
        <w:t>Series A Preferred Unit Exchange Offer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July 2020, the Partnership completed an offer to exchange its Series A Preferred Units for newly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whereby it issued 837,547 SMLP common units in exchange for 62,816 Series A Preferred Units.</w:t>
      </w:r>
    </w:p>
    <w:p>
      <w:pPr>
        <w:spacing w:after="0" w:line="5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 xml:space="preserve">Series A Preferred Tender Offer. </w:t>
      </w:r>
      <w:r>
        <w:rPr>
          <w:rFonts w:ascii="Arial" w:cs="Arial" w:eastAsia="Arial" w:hAnsi="Arial"/>
          <w:sz w:val="16"/>
          <w:szCs w:val="16"/>
          <w:color w:val="auto"/>
        </w:rPr>
        <w:t>In December 2020, the Partnership completed a cash tender offer for its Series A Preferred Units whereby it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75,075 Series A Preferred Units for a purchase price of $333.00 per Series A Preferred Unit and an aggregate purchase price of $25.0 million.</w:t>
      </w:r>
    </w:p>
    <w:p>
      <w:pPr>
        <w:spacing w:after="0" w:line="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Subsidiary Series A Preferred Units. </w:t>
      </w:r>
      <w:r>
        <w:rPr>
          <w:rFonts w:ascii="Arial" w:cs="Arial" w:eastAsia="Arial" w:hAnsi="Arial"/>
          <w:sz w:val="18"/>
          <w:szCs w:val="18"/>
          <w:color w:val="auto"/>
        </w:rPr>
        <w:t>The Partnership has Subsidiary Series A Preferred Units that ranks senior to each other class or series of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interests or other equity securities in Permian Holdco that may be established in the future that expressly ranks junior to the Subsidiary Series A Preferred Units as to the payment of distributions and amounts payable upon a liquidation event (the “Junior Securities”). The Subsidiary Series A Preferred Units rank equal in all respects with each class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series of limited partner interests or other equity securities in Permian Holdco that may be established in the future that is not expressly made senior or subordinated to the Subsidiary Series A Preferred Units as to the payment of distributions and amounts payable on a liquidation event (the “Parity Securities”). The Subsidiary Series A Preferred Units rank junior to (i) all of Permian Holdco’s or a subsidiary of Permian Holdco’s future indebtedness and other liabilities with respect to assets available to satisfy claims against Permian Holdco and (ii) each other class or series of limited partner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spacing w:after="0" w:line="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Distributions on the Subsidiary Series A Preferred Units are cumulative and compounding and are payable 21 days following the quarterly period ended March, June, September and December of each year (each, a “Series A Distribution Payment Date”) to holders of record as of the close of business on the first business day of the month of the applicable Series A Distribution Payment Date, in each case, when, as, and if declared by Permian Holdco out of legally available funds for such purpose.</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distribution rate for the Subsidiary Series A Preferred Units is 7.00% per annum of the $1,000 liquidation preference per Subsidiary Series A Preferred Unit. A pro-rated initial distribution on the Subsidiary Series A Preferred Units was Paid-in-kind (“PIK”) on January 21, 2020 in an amount equal to 7.00% per Subsidiary Series A Preferred Unit plus 1.00% per annum of the undrawn commitment units.</w:t>
      </w:r>
    </w:p>
    <w:p>
      <w:pPr>
        <w:spacing w:after="0" w:line="7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In 2020, the Partnership issued 55,251 Subsidiary Series A Preferred Units at a price of $1,000 per unit for net proceeds of $48.7 million (after deducting underwriting discounts and offering expenses). All proceeds were used to fund capital expenses associated with the Double E Project.</w:t>
      </w:r>
    </w:p>
    <w:p>
      <w:pPr>
        <w:ind w:right="40"/>
        <w:spacing w:after="0" w:line="255" w:lineRule="auto"/>
        <w:rPr>
          <w:sz w:val="20"/>
          <w:szCs w:val="20"/>
          <w:color w:val="auto"/>
        </w:rPr>
      </w:pPr>
      <w:r>
        <w:rPr>
          <w:rFonts w:ascii="Arial" w:cs="Arial" w:eastAsia="Arial" w:hAnsi="Arial"/>
          <w:sz w:val="18"/>
          <w:szCs w:val="18"/>
          <w:color w:val="auto"/>
        </w:rPr>
        <w:t>In 2019, the Partnership issued 30,000 Subsidiary Series A Preferred Units representing limited partner interests in Permian Holdco at a price of $1,000 per unit. The net proceeds of $27.4 million (after deducting underwriting discounts and offering expenses) were used to fund capital expenses associated with the Double E Project.</w:t>
      </w:r>
    </w:p>
    <w:p>
      <w:pPr>
        <w:spacing w:after="0" w:line="8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proceeds associated with the issuance of Subsidiary Series A Preferred Units are classified as restricted cash on the accompanying consolidated balance sheets in accordance with the underlying agreement with TPG Energy Solutions Anthem, L.P. until the related funding is used for the Double E Project.</w:t>
      </w:r>
    </w:p>
    <w:p>
      <w:pPr>
        <w:spacing w:after="0" w:line="68"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These Subsidiary Series A Preferred Units are considered redeemable securities under GAAP due to the existence of certain redemption provisions that are outside of the Partnership’s control. Therefore, the securities are classified as temporary equity in the mezzanine section of the consolidated balance sheets.</w:t>
      </w:r>
    </w:p>
    <w:p>
      <w:pPr>
        <w:spacing w:after="0" w:line="1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The Partnership also elected to make payment-in-kind (“PIK”) distributions to holders of the Subsidiary Series A Preferred Units during the year ended December 31, 2020 and these PIK distributions increase the liquidation preference on each Subsidiary Series A Preferred Unit. Ultimately, Net Income (Loss) Attributable to common limited partners includes adjustments for PIK distributions and redemption accretion.</w:t>
      </w:r>
    </w:p>
    <w:p>
      <w:pPr>
        <w:spacing w:after="0" w:line="5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If the Subsidiary Series A Preferred Units were redeemed on December 31, 2020, the redemption amount would be $106.6 million, when considering the applicable multiple of invested capital metric and make-whole amount provisions contained in the Subsidiary Series A Preferred Unit agreement. The following table shows the change in the Partnership’s Subsidiary Series A Preferred Unit balance during the year ended December 31,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9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Pr>
          <w:p>
            <w:pPr>
              <w:jc w:val="right"/>
              <w:ind w:right="595"/>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29"/>
        </w:trPr>
        <w:tc>
          <w:tcPr>
            <w:tcW w:w="9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27,450</w:t>
            </w:r>
          </w:p>
        </w:tc>
      </w:tr>
      <w:tr>
        <w:trPr>
          <w:trHeight w:val="230"/>
        </w:trPr>
        <w:tc>
          <w:tcPr>
            <w:tcW w:w="9120" w:type="dxa"/>
            <w:vAlign w:val="bottom"/>
          </w:tcPr>
          <w:p>
            <w:pPr>
              <w:ind w:left="140"/>
              <w:spacing w:after="0"/>
              <w:rPr>
                <w:sz w:val="20"/>
                <w:szCs w:val="20"/>
                <w:color w:val="auto"/>
              </w:rPr>
            </w:pPr>
            <w:r>
              <w:rPr>
                <w:rFonts w:ascii="Arial" w:cs="Arial" w:eastAsia="Arial" w:hAnsi="Arial"/>
                <w:sz w:val="18"/>
                <w:szCs w:val="18"/>
                <w:color w:val="auto"/>
              </w:rPr>
              <w:t>New issuances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35"/>
              <w:spacing w:after="0"/>
              <w:rPr>
                <w:sz w:val="20"/>
                <w:szCs w:val="20"/>
                <w:color w:val="auto"/>
              </w:rPr>
            </w:pPr>
            <w:r>
              <w:rPr>
                <w:rFonts w:ascii="Arial" w:cs="Arial" w:eastAsia="Arial" w:hAnsi="Arial"/>
                <w:sz w:val="18"/>
                <w:szCs w:val="18"/>
                <w:color w:val="auto"/>
              </w:rPr>
              <w:t>50,000</w:t>
            </w:r>
          </w:p>
        </w:tc>
      </w:tr>
      <w:tr>
        <w:trPr>
          <w:trHeight w:val="230"/>
        </w:trPr>
        <w:tc>
          <w:tcPr>
            <w:tcW w:w="9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PIK distributions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5,251</w:t>
            </w:r>
          </w:p>
        </w:tc>
      </w:tr>
      <w:tr>
        <w:trPr>
          <w:trHeight w:val="230"/>
        </w:trPr>
        <w:tc>
          <w:tcPr>
            <w:tcW w:w="912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9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Redemption accretion</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8,247</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r>
              <w:rPr>
                <w:rFonts w:ascii="Arial" w:cs="Arial" w:eastAsia="Arial" w:hAnsi="Arial"/>
                <w:sz w:val="15"/>
                <w:szCs w:val="15"/>
                <w:b w:val="1"/>
                <w:bCs w:val="1"/>
                <w:color w:val="auto"/>
              </w:rPr>
              <w:t>(1)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89,658</w:t>
            </w: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Amount is net of $3.9 million of issuance costs at December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On May 28, 2020 and in connection with the GP Buy-In Transaction, the Partnership issued (i) a warrant to purchase up to 0.5 million SMLP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units to ECP NewCo (the “ECP NewCo Warrant”) and (ii) a warrant to purchase up to 0.1 million SMLP common units to ECP Holdings (the “ECP Holdings Warrant” and together with the ECP NewCo Warrant, the “ECP Warrants”). The exercise price under the ECP Warrants is $15.35 per SMLP common unit and the Partnership may issue a maximum of 0.7 million SMLP common units under the ECP Warrants.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exercise of the ECP Warrants, each of ECP NewCo and ECP Holdings may receive, at its election: (i) a number of SMLP common units equal to the number of SMLP common units for which the ECP Warrants are being exercised, if exercising the ECP Warrants by cash payment of the exercise price; (ii) a number of SMLP common units equal to the product of the number of common units being exercised multiplied by (a) the difference between the average of the daily volume-weighted average price (“VWAP”) of the SMLP common units on the New York Stock Exchange (the “NYSE”) on each of the three trading days prior to the delivery of the notice of exercise (the “VWAP Average”) and the exercise price (the “VWAP Difference”), divided by (b) the VWAP Average; and/or (iii) an amount in cash, to the extent that the Partnership’s leverage ratio would be at least 0.5x less than the maximum applicable ratio set forth in the Revolving Credit Facility, equal to the product of (a) the number of SMLP common units exercised and (b) the VWAP Difference, subject to certain adjustments under the ECP Warrants.</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ECP Warrants are subject to standard anti-dilution adjustments for stock dividends, stock splits (including reverse splits) and recapitalizations and are exercisable at any time on or before May 28, 2023. Upon exercise of the ECP Warrants, the proceeds to the holders of the ECP Warrants, whether in the form of cash or common units, will be capped at $30.00 per SMLP common unit above the exercise price.</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issuance the ECP Warrants were valued at $2.3 million using a Black-Scholes model and accounted for as a liability instrument. At December 31, 2020, the ECP Warrants were valued at $1.9 million.</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Cash Distribution Policy. </w:t>
      </w:r>
      <w:r>
        <w:rPr>
          <w:rFonts w:ascii="Arial" w:cs="Arial" w:eastAsia="Arial" w:hAnsi="Arial"/>
          <w:sz w:val="18"/>
          <w:szCs w:val="18"/>
          <w:color w:val="auto"/>
        </w:rPr>
        <w:t>In connection with the GP Buy-In Transaction, the Partnership suspended its cash distributions to holders of its common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commencing with respect to the quarter ending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w:t>
      </w:r>
    </w:p>
    <w:p>
      <w:pPr>
        <w:spacing w:after="0" w:line="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Prior to the GP Buy-In Transaction, SMLP paid the following per-unit cash distributions to its unitholders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years ended December 31:</w:t>
      </w:r>
    </w:p>
    <w:p>
      <w:pPr>
        <w:spacing w:after="0" w:line="1"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2288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8320"/>
        <w:spacing w:after="0"/>
        <w:tabs>
          <w:tab w:leader="none" w:pos="101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7720" w:val="left"/>
          <w:tab w:leader="none" w:pos="8840" w:val="left"/>
          <w:tab w:leader="none" w:pos="9540" w:val="left"/>
          <w:tab w:leader="none" w:pos="10600" w:val="left"/>
        </w:tabs>
        <w:rPr>
          <w:sz w:val="20"/>
          <w:szCs w:val="20"/>
          <w:color w:val="auto"/>
        </w:rPr>
      </w:pPr>
      <w:r>
        <w:rPr>
          <w:rFonts w:ascii="Arial" w:cs="Arial" w:eastAsia="Arial" w:hAnsi="Arial"/>
          <w:sz w:val="18"/>
          <w:szCs w:val="18"/>
          <w:color w:val="auto"/>
        </w:rPr>
        <w:t>Per-unit distributions to unitholders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1.4375</w:t>
      </w:r>
    </w:p>
    <w:p>
      <w:pPr>
        <w:spacing w:after="0" w:line="2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January 29, 2020, the Board of Directors declared a distribution of $0.125 per unit for the quarterly period ended December 31, 2019. This distribution, which totaled $11.7 million, was paid on February 14, 2020 to unitholders of record at the close of business on February 7, 2020.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b w:val="1"/>
                <w:bCs w:val="1"/>
                <w:color w:val="auto"/>
              </w:rPr>
              <w:t>14. EARNINGS PER UNIT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The following table details the components of EPU.</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89"/>
              </w:rPr>
              <w:t>Year ended December 31,</w:t>
            </w:r>
          </w:p>
        </w:tc>
      </w:tr>
      <w:tr>
        <w:trPr>
          <w:trHeight w:val="223"/>
        </w:trPr>
        <w:tc>
          <w:tcPr>
            <w:tcW w:w="8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5"/>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center"/>
              <w:ind w:right="250"/>
              <w:spacing w:after="0" w:line="205" w:lineRule="exact"/>
              <w:rPr>
                <w:sz w:val="20"/>
                <w:szCs w:val="20"/>
                <w:color w:val="auto"/>
              </w:rPr>
            </w:pPr>
            <w:r>
              <w:rPr>
                <w:rFonts w:ascii="Arial" w:cs="Arial" w:eastAsia="Arial" w:hAnsi="Arial"/>
                <w:sz w:val="18"/>
                <w:szCs w:val="18"/>
                <w:b w:val="1"/>
                <w:bCs w:val="1"/>
                <w:color w:val="auto"/>
                <w:w w:val="90"/>
              </w:rPr>
              <w:t>(In thousands, except per-unit</w:t>
            </w:r>
          </w:p>
        </w:tc>
      </w:tr>
      <w:tr>
        <w:trPr>
          <w:trHeight w:val="234"/>
        </w:trPr>
        <w:tc>
          <w:tcPr>
            <w:tcW w:w="8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amounts)</w:t>
            </w:r>
          </w:p>
        </w:tc>
        <w:tc>
          <w:tcPr>
            <w:tcW w:w="1100" w:type="dxa"/>
            <w:vAlign w:val="bottom"/>
          </w:tcPr>
          <w:p>
            <w:pPr>
              <w:spacing w:after="0"/>
              <w:rPr>
                <w:sz w:val="20"/>
                <w:szCs w:val="20"/>
                <w:color w:val="auto"/>
              </w:rPr>
            </w:pPr>
          </w:p>
        </w:tc>
      </w:tr>
      <w:tr>
        <w:trPr>
          <w:trHeight w:val="229"/>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Allocation of net income (loss) among limited partner interests: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attributable to limited partners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192,352</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(184,451)</w:t>
            </w:r>
          </w:p>
        </w:tc>
      </w:tr>
      <w:tr>
        <w:trPr>
          <w:trHeight w:val="229"/>
        </w:trPr>
        <w:tc>
          <w:tcPr>
            <w:tcW w:w="8160" w:type="dxa"/>
            <w:vAlign w:val="bottom"/>
          </w:tcPr>
          <w:p>
            <w:pPr>
              <w:spacing w:after="0"/>
              <w:rPr>
                <w:sz w:val="20"/>
                <w:szCs w:val="20"/>
                <w:color w:val="auto"/>
              </w:rPr>
            </w:pPr>
            <w:r>
              <w:rPr>
                <w:rFonts w:ascii="Arial" w:cs="Arial" w:eastAsia="Arial" w:hAnsi="Arial"/>
                <w:sz w:val="18"/>
                <w:szCs w:val="18"/>
                <w:b w:val="1"/>
                <w:bCs w:val="1"/>
                <w:color w:val="auto"/>
              </w:rPr>
              <w:t>Less: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26,529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28,500</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Deemed capital contribution from Series A Preferred Unit Exchange Offer</w:t>
            </w:r>
          </w:p>
        </w:tc>
        <w:tc>
          <w:tcPr>
            <w:tcW w:w="2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54,945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Deemed capital contribution from Series A Preferred Tender Offer</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55,724</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r>
      <w:tr>
        <w:trPr>
          <w:trHeight w:val="223"/>
        </w:trPr>
        <w:tc>
          <w:tcPr>
            <w:tcW w:w="8160" w:type="dxa"/>
            <w:vAlign w:val="bottom"/>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262,994</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(213,009)</w:t>
            </w:r>
          </w:p>
        </w:tc>
      </w:tr>
      <w:tr>
        <w:trPr>
          <w:trHeight w:val="229"/>
        </w:trPr>
        <w:tc>
          <w:tcPr>
            <w:tcW w:w="8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units outstanding – basic</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3,592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3,021</w:t>
            </w:r>
          </w:p>
        </w:tc>
      </w:tr>
      <w:tr>
        <w:trPr>
          <w:trHeight w:val="229"/>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nonvested phantom units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Weighted-average common units outstanding – diluted</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3,694</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3,021</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per limited partner unit: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73.22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(70.50)</w:t>
            </w:r>
          </w:p>
        </w:tc>
      </w:tr>
      <w:tr>
        <w:trPr>
          <w:trHeight w:val="229"/>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71.19</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w:t>
            </w:r>
          </w:p>
        </w:tc>
      </w:tr>
      <w:tr>
        <w:trPr>
          <w:trHeight w:val="445"/>
        </w:trPr>
        <w:tc>
          <w:tcPr>
            <w:tcW w:w="8160" w:type="dxa"/>
            <w:vAlign w:val="bottom"/>
          </w:tcPr>
          <w:p>
            <w:pPr>
              <w:spacing w:after="0"/>
              <w:rPr>
                <w:sz w:val="20"/>
                <w:szCs w:val="20"/>
                <w:color w:val="auto"/>
              </w:rPr>
            </w:pPr>
            <w:r>
              <w:rPr>
                <w:rFonts w:ascii="Arial" w:cs="Arial" w:eastAsia="Arial" w:hAnsi="Arial"/>
                <w:sz w:val="18"/>
                <w:szCs w:val="18"/>
                <w:color w:val="auto"/>
              </w:rPr>
              <w:t>Nonvested anti-dilutive phantom units excluded from the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calculation of diluted EPU</w:t>
            </w:r>
          </w:p>
        </w:tc>
        <w:tc>
          <w:tcPr>
            <w:tcW w:w="2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282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800" w:right="220" w:hanging="401"/>
        <w:spacing w:after="0" w:line="248" w:lineRule="auto"/>
        <w:tabs>
          <w:tab w:leader="none" w:pos="800" w:val="left"/>
        </w:tabs>
        <w:numPr>
          <w:ilvl w:val="1"/>
          <w:numId w:val="88"/>
        </w:numPr>
        <w:rPr>
          <w:rFonts w:ascii="Arial" w:cs="Arial" w:eastAsia="Arial" w:hAnsi="Arial"/>
          <w:sz w:val="18"/>
          <w:szCs w:val="18"/>
          <w:color w:val="auto"/>
        </w:rPr>
      </w:pPr>
      <w:r>
        <w:rPr>
          <w:rFonts w:ascii="Arial" w:cs="Arial" w:eastAsia="Arial" w:hAnsi="Arial"/>
          <w:sz w:val="16"/>
          <w:szCs w:val="16"/>
          <w:color w:val="auto"/>
        </w:rPr>
        <w:t>As a result of the GP Buy-In Transaction, our historical results are those of Summit Investments. The number of common units of 3.0 million as of December 31, 2019 represents those of Summit Investments and has been used for the earnings per unit calculation presented herein</w:t>
      </w:r>
      <w:r>
        <w:rPr>
          <w:rFonts w:ascii="Arial" w:cs="Arial" w:eastAsia="Arial" w:hAnsi="Arial"/>
          <w:sz w:val="21"/>
          <w:szCs w:val="21"/>
          <w:color w:val="auto"/>
        </w:rPr>
        <w:t>.</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r>
      <w:tr>
        <w:trPr>
          <w:trHeight w:val="227"/>
        </w:trPr>
        <w:tc>
          <w:tcPr>
            <w:tcW w:w="77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9"/>
              </w:rPr>
              <w:t>(In thousands)</w:t>
            </w:r>
          </w:p>
        </w:tc>
        <w:tc>
          <w:tcPr>
            <w:tcW w:w="68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interest paid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79,450</w:t>
            </w:r>
          </w:p>
        </w:tc>
        <w:tc>
          <w:tcPr>
            <w:tcW w:w="16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92,536</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capitalized interest</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3,878</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6,974</w:t>
            </w: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75,572</w:t>
            </w:r>
          </w:p>
        </w:tc>
        <w:tc>
          <w:tcPr>
            <w:tcW w:w="1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85,562</w:t>
            </w:r>
          </w:p>
        </w:tc>
      </w:tr>
      <w:tr>
        <w:trPr>
          <w:trHeight w:val="210"/>
        </w:trPr>
        <w:tc>
          <w:tcPr>
            <w:tcW w:w="7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in trade accounts payable (period-end accruals)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6,154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19,846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 issuance for GP Buy-In Transaction</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contribution to an equity method investment</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23,643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Right-of-use assets relating to ASC Topic 842</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3,685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5,448</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SMLP equity for TL Restructuring</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30,521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Accretion of Subsidiary Series A Preferred Units</w:t>
            </w:r>
          </w:p>
        </w:tc>
        <w:tc>
          <w:tcPr>
            <w:tcW w:w="10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8,247</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UNIT-BASED AND NONCASH COMPENSATION</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Partnership’s Long-Term Incentive Plan (“SMLP LTIP”) provides for equity awards to eligible officers,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and directors of the Partnership, thereby linking the recipients' compensation directly to SMLP’s performance. The SMLP LTIP provides for the granting, from time to time, of unit-based awards, including common</w:t>
      </w:r>
    </w:p>
    <w:p>
      <w:pPr>
        <w:sectPr>
          <w:pgSz w:w="11900" w:h="16838" w:orient="portrait"/>
          <w:cols w:equalWidth="0" w:num="1">
            <w:col w:w="11240"/>
          </w:cols>
          <w:pgMar w:left="320" w:top="247"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units, restricted units, phantom units, unit options, unit appreciation rights, distribution equivalent rights, profits interest units and other unit-based awards. Grants are made at the discretion of the Board of Directors or Compensation Committee. A total of 1.0 million common units was reserved for issuance pursuant to and in accordance with the SMLP LTIP. As of December 31, 2020, approximately 0.4 million common units remained available for future issuance.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The following table presents phantom unit activity for the periods presented:</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7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Weighted-average</w:t>
            </w:r>
          </w:p>
        </w:tc>
      </w:tr>
      <w:tr>
        <w:trPr>
          <w:trHeight w:val="216"/>
        </w:trPr>
        <w:tc>
          <w:tcPr>
            <w:tcW w:w="7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772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Units</w:t>
            </w:r>
          </w:p>
        </w:tc>
        <w:tc>
          <w:tcPr>
            <w:tcW w:w="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6"/>
              </w:rPr>
              <w:t>value</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2018</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57,608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256.65</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Phantom units granted</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127,540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97.20</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Phantom units 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251.70</w:t>
            </w: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Phantom units 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193.05</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2019</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140,400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115.35</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Phantom units granted</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345,997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9.20</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Phantom units 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(193,349)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54.07</w:t>
            </w:r>
          </w:p>
        </w:tc>
      </w:tr>
      <w:tr>
        <w:trPr>
          <w:trHeight w:val="229"/>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Phantom units 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119.24</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2020</w:t>
            </w: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291,691</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26.57</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 phantom unit is a notional unit that entitles the grantee to receive a common unit upon the vesting of the phantom unit or on a deferred basis upon specified future dates or events or, in the discretion of the administrator, cash equal to the fair market value of a common unit. Distribution equivalent rights for each phantom unit provide for a lump sum cash amount equal to the accrued distributions from the grant date to be paid in cash upon the vesting date.</w:t>
      </w:r>
    </w:p>
    <w:p>
      <w:pPr>
        <w:spacing w:after="0" w:line="38"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color w:val="auto"/>
        </w:rPr>
        <w:t>P</w:t>
      </w:r>
      <w:r>
        <w:rPr>
          <w:rFonts w:ascii="Arial" w:cs="Arial" w:eastAsia="Arial" w:hAnsi="Arial"/>
          <w:sz w:val="16"/>
          <w:szCs w:val="16"/>
          <w:color w:val="auto"/>
        </w:rPr>
        <w:t>hantom units granted to date generally vest ratably over a three-year period. Grant date fair value is determined based on the closing price of SMLP’s</w:t>
      </w:r>
      <w:r>
        <w:rPr>
          <w:rFonts w:ascii="Arial" w:cs="Arial" w:eastAsia="Arial" w:hAnsi="Arial"/>
          <w:sz w:val="19"/>
          <w:szCs w:val="19"/>
          <w:color w:val="auto"/>
        </w:rPr>
        <w:t xml:space="preserve"> </w:t>
      </w:r>
      <w:r>
        <w:rPr>
          <w:rFonts w:ascii="Arial" w:cs="Arial" w:eastAsia="Arial" w:hAnsi="Arial"/>
          <w:sz w:val="16"/>
          <w:szCs w:val="16"/>
          <w:color w:val="auto"/>
        </w:rPr>
        <w:t>common units on the date of grant multiplied by the number of phantom units awarded to the grantee. Forfeitures are recorded as incurred. Holders of all phantom units granted to date are entitled to receive distribution equivalent rights for each phantom unit, providing for a lump sum cash amount equal to the accrued distributions from the grant date of the phantom units to be paid in cash upon the vesting date. Upon vesting, phantom unit awards may be settled, at the Partnership’s discretion, in cash and/or common units, but the current intention is to settle all phantom unit awards with common units.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w w:val="97"/>
              </w:rPr>
              <w:t>The intrinsic value of phantom units that vested during the years ended December 31, follows.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78"/>
        </w:trPr>
        <w:tc>
          <w:tcPr>
            <w:tcW w:w="7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223"/>
        </w:trPr>
        <w:tc>
          <w:tcPr>
            <w:tcW w:w="7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Intrinsic value of vested LTIP awards</w:t>
            </w:r>
          </w:p>
        </w:tc>
        <w:tc>
          <w:tcPr>
            <w:tcW w:w="150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2,602</w:t>
            </w:r>
          </w:p>
        </w:tc>
        <w:tc>
          <w:tcPr>
            <w:tcW w:w="120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5,940</w:t>
            </w: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2020, the unrecognized unit-based compensation related to the SMLP LTIP was $3.4 million. Incremental unit-based compensation will be recorded over the remaining weighted-average vesting period of approximately 1.4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Unit-based compensation recognized in general and administrative expense related to awards under the SMLP LTIP follows.</w:t>
      </w:r>
    </w:p>
    <w:p>
      <w:pPr>
        <w:spacing w:after="0" w:line="32"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17145</wp:posOffset>
            </wp:positionV>
            <wp:extent cx="2219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8340"/>
        <w:spacing w:after="0"/>
        <w:tabs>
          <w:tab w:leader="none" w:pos="101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Borders>
              <w:top w:val="single" w:sz="8" w:color="auto"/>
            </w:tcBorders>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SMLP LTIP unit-based compensation</w:t>
            </w:r>
          </w:p>
        </w:tc>
        <w:tc>
          <w:tcPr>
            <w:tcW w:w="31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540"/>
              <w:spacing w:after="0"/>
              <w:rPr>
                <w:sz w:val="20"/>
                <w:szCs w:val="20"/>
                <w:color w:val="auto"/>
              </w:rPr>
            </w:pPr>
            <w:r>
              <w:rPr>
                <w:rFonts w:ascii="Arial" w:cs="Arial" w:eastAsia="Arial" w:hAnsi="Arial"/>
                <w:sz w:val="18"/>
                <w:szCs w:val="18"/>
                <w:color w:val="auto"/>
              </w:rPr>
              <w:t>8,111</w:t>
            </w:r>
          </w:p>
        </w:tc>
        <w:tc>
          <w:tcPr>
            <w:tcW w:w="94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Partnership leases certain office space and equipment under operating leases. The Partnership leases office space for terms of between 3 and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Office space leases limit exposure to risks related to ownership, such as fluctuations in real estate prices. The Partnership leases equipment primarily to support its operations in response to the needs of its gathering systems for terms of between 3 and 4 years. The Partnership also leases vehicles under finance leases to support its operations in response to the needs of its gathering systems for a term of 3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Some of the Partnerships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provisions in the Revolving Credit Facility, the Partnership’s aggregate finance lease obligations cannot exceed $50.0 million in any period of twelve consecutive calendar months during the life of such leases.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Significant assumptions or judgments include the determination of whether a contract contains a lease and the discount rate used in the lease liabilities.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rate implicit in the lease contracts are not readily determinable. In determining the discount rate used in for lease liabilities, the Partnership analyzed certain factors in its incremental borrowing rate, including collateral assumptions and the term used. The incremental borrowing rate on the Revolving Credit Facility was 2.90% at December 31, 2020, which reflects the fixed rate at which the Partnership could borrow a similar amount, for a similar term and with similar collateral as in the lease contracts at the commencement date.</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adoption of Topic 842, the Partnership elected the package of practical expedients which permits them not to reassess under the new standard its prior conclusions about lease identification, lease classification and initial direct costs. The Company also elected the practical expedient to not separate the nonlease components from the associated lease components for all classes of underlying assets, as well as the short-term lease recognition exemption.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ROU assets (included in the Property, plant and equipment, net caption on the Partnership’s consolidated balance sheet) and lease liabilities (included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and Other noncurrent liabilities captions on the Partnership’s consolidated balance sheet) follow: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180"/>
        </w:trPr>
        <w:tc>
          <w:tcPr>
            <w:tcW w:w="5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5"/>
          </w:tcPr>
          <w:p>
            <w:pPr>
              <w:jc w:val="right"/>
              <w:ind w:right="859"/>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05"/>
        </w:trPr>
        <w:tc>
          <w:tcPr>
            <w:tcW w:w="5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1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520" w:type="dxa"/>
            <w:vAlign w:val="bottom"/>
            <w:gridSpan w:val="2"/>
          </w:tcPr>
          <w:p>
            <w:pPr>
              <w:jc w:val="right"/>
              <w:ind w:right="39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3,736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3,580</w:t>
            </w:r>
          </w:p>
        </w:tc>
      </w:tr>
      <w:tr>
        <w:trPr>
          <w:trHeight w:val="229"/>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19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3,159</w:t>
            </w:r>
          </w:p>
        </w:tc>
      </w:tr>
      <w:tr>
        <w:trPr>
          <w:trHeight w:val="223"/>
        </w:trPr>
        <w:tc>
          <w:tcPr>
            <w:tcW w:w="5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5,484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6,739</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1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520" w:type="dxa"/>
            <w:vAlign w:val="bottom"/>
            <w:gridSpan w:val="2"/>
          </w:tcPr>
          <w:p>
            <w:pPr>
              <w:jc w:val="right"/>
              <w:ind w:right="39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1,221</w:t>
            </w: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19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r>
      <w:tr>
        <w:trPr>
          <w:trHeight w:val="223"/>
        </w:trPr>
        <w:tc>
          <w:tcPr>
            <w:tcW w:w="5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2,467</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1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520" w:type="dxa"/>
            <w:vAlign w:val="bottom"/>
            <w:gridSpan w:val="2"/>
          </w:tcPr>
          <w:p>
            <w:pPr>
              <w:jc w:val="right"/>
              <w:ind w:right="39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3,182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2,513</w:t>
            </w: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19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676</w:t>
            </w:r>
          </w:p>
        </w:tc>
      </w:tr>
      <w:tr>
        <w:trPr>
          <w:trHeight w:val="224"/>
        </w:trPr>
        <w:tc>
          <w:tcPr>
            <w:tcW w:w="5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3,189</w:t>
            </w:r>
          </w:p>
        </w:tc>
      </w:tr>
      <w:tr>
        <w:trPr>
          <w:trHeight w:val="458"/>
        </w:trPr>
        <w:tc>
          <w:tcPr>
            <w:tcW w:w="5420" w:type="dxa"/>
            <w:vAlign w:val="bottom"/>
          </w:tcPr>
          <w:p>
            <w:pPr>
              <w:spacing w:after="0"/>
              <w:rPr>
                <w:sz w:val="20"/>
                <w:szCs w:val="20"/>
                <w:color w:val="auto"/>
              </w:rPr>
            </w:pPr>
            <w:r>
              <w:rPr>
                <w:rFonts w:ascii="Arial" w:cs="Arial" w:eastAsia="Arial" w:hAnsi="Arial"/>
                <w:sz w:val="18"/>
                <w:szCs w:val="18"/>
                <w:color w:val="auto"/>
              </w:rPr>
              <w:t>Lease cost and Other information follow:</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5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left="94"/>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24"/>
                <w:szCs w:val="24"/>
                <w:color w:val="auto"/>
              </w:rPr>
            </w:pPr>
          </w:p>
        </w:tc>
      </w:tr>
      <w:tr>
        <w:trPr>
          <w:trHeight w:val="155"/>
        </w:trPr>
        <w:tc>
          <w:tcPr>
            <w:tcW w:w="5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r>
      <w:tr>
        <w:trPr>
          <w:trHeight w:val="156"/>
        </w:trPr>
        <w:tc>
          <w:tcPr>
            <w:tcW w:w="5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40" w:type="dxa"/>
            <w:vAlign w:val="bottom"/>
            <w:gridSpan w:val="5"/>
          </w:tcPr>
          <w:p>
            <w:pPr>
              <w:jc w:val="center"/>
              <w:ind w:left="7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3"/>
                <w:szCs w:val="13"/>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Finance lease cost:</w:t>
            </w: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Amortization of ROU assets (included in depreciation and amortization)</w:t>
            </w:r>
          </w:p>
        </w:tc>
        <w:tc>
          <w:tcPr>
            <w:tcW w:w="286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1,559</w:t>
            </w: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Interest on lease liabilities (included in interest expense)</w:t>
            </w: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6"/>
              </w:rPr>
              <w:t>Operating lease cost (included in general and administrative expense)</w:t>
            </w:r>
          </w:p>
        </w:tc>
        <w:tc>
          <w:tcPr>
            <w:tcW w:w="1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3,345</w:t>
            </w:r>
          </w:p>
        </w:tc>
      </w:tr>
      <w:tr>
        <w:trPr>
          <w:trHeight w:val="224"/>
        </w:trPr>
        <w:tc>
          <w:tcPr>
            <w:tcW w:w="542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5,006</w:t>
            </w:r>
          </w:p>
        </w:tc>
      </w:tr>
      <w:tr>
        <w:trPr>
          <w:trHeight w:val="431"/>
        </w:trPr>
        <w:tc>
          <w:tcPr>
            <w:tcW w:w="5420" w:type="dxa"/>
            <w:vAlign w:val="bottom"/>
          </w:tcPr>
          <w:p>
            <w:pPr>
              <w:spacing w:after="0"/>
              <w:rPr>
                <w:sz w:val="24"/>
                <w:szCs w:val="24"/>
                <w:color w:val="auto"/>
              </w:rPr>
            </w:pPr>
          </w:p>
        </w:tc>
        <w:tc>
          <w:tcPr>
            <w:tcW w:w="1940" w:type="dxa"/>
            <w:vAlign w:val="bottom"/>
          </w:tcPr>
          <w:p>
            <w:pPr>
              <w:jc w:val="right"/>
              <w:ind w:right="1510"/>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72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1"/>
              </w:rPr>
              <w:t>Year ended December 31,</w:t>
            </w:r>
          </w:p>
        </w:tc>
        <w:tc>
          <w:tcPr>
            <w:tcW w:w="680" w:type="dxa"/>
            <w:vAlign w:val="bottom"/>
            <w:tcBorders>
              <w:bottom w:val="single" w:sz="8" w:color="auto"/>
            </w:tcBorders>
          </w:tcPr>
          <w:p>
            <w:pPr>
              <w:spacing w:after="0"/>
              <w:rPr>
                <w:sz w:val="14"/>
                <w:szCs w:val="14"/>
                <w:color w:val="auto"/>
              </w:rPr>
            </w:pPr>
          </w:p>
        </w:tc>
      </w:tr>
      <w:tr>
        <w:trPr>
          <w:trHeight w:val="223"/>
        </w:trPr>
        <w:tc>
          <w:tcPr>
            <w:tcW w:w="7840" w:type="dxa"/>
            <w:vAlign w:val="bottom"/>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9"/>
                <w:szCs w:val="19"/>
                <w:color w:val="auto"/>
              </w:rPr>
            </w:pPr>
          </w:p>
        </w:tc>
      </w:tr>
      <w:tr>
        <w:trPr>
          <w:trHeight w:val="223"/>
        </w:trPr>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9"/>
                <w:szCs w:val="19"/>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1,472</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3,396</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9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10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102</w:t>
            </w:r>
          </w:p>
        </w:tc>
      </w:tr>
      <w:tr>
        <w:trPr>
          <w:trHeight w:val="230"/>
        </w:trPr>
        <w:tc>
          <w:tcPr>
            <w:tcW w:w="7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1,150</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1,873</w:t>
            </w: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ROU assets obtained in exchange for new operating lease</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84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3,552</w:t>
            </w:r>
          </w:p>
        </w:tc>
        <w:tc>
          <w:tcPr>
            <w:tcW w:w="10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1,218</w:t>
            </w: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new finance lease</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7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133</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1,350</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9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4.9</w:t>
            </w:r>
          </w:p>
        </w:tc>
        <w:tc>
          <w:tcPr>
            <w:tcW w:w="10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3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Partnership recognizes total lease expense incurred or allocated to us in general and administrative expenses. Lease expense related to operating leases, including lease expense incurred on the Partnership’s behalf and allocated to us,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8"/>
                <w:szCs w:val="18"/>
                <w:b w:val="1"/>
                <w:bCs w:val="1"/>
                <w:color w:val="auto"/>
                <w:w w:val="89"/>
              </w:rPr>
              <w:t>Year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20" w:type="dxa"/>
            <w:vAlign w:val="bottom"/>
            <w:gridSpan w:val="3"/>
          </w:tcPr>
          <w:p>
            <w:pPr>
              <w:jc w:val="center"/>
              <w:ind w:right="534"/>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110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93"/>
              </w:rPr>
              <w:t>3,436</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4,038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0"/>
              </w:rPr>
              <w:t>Future minimum lease payments due under noncancelable leases at December 31, 2020, were as follows: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607"/>
        </w:trPr>
        <w:tc>
          <w:tcPr>
            <w:tcW w:w="77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534"/>
              <w:spacing w:after="0"/>
              <w:rPr>
                <w:sz w:val="20"/>
                <w:szCs w:val="20"/>
                <w:color w:val="auto"/>
              </w:rPr>
            </w:pPr>
            <w:r>
              <w:rPr>
                <w:rFonts w:ascii="Arial" w:cs="Arial" w:eastAsia="Arial" w:hAnsi="Arial"/>
                <w:sz w:val="14"/>
                <w:szCs w:val="14"/>
                <w:b w:val="1"/>
                <w:bCs w:val="1"/>
                <w:color w:val="auto"/>
                <w:w w:val="91"/>
              </w:rPr>
              <w:t>December 31, 2020</w:t>
            </w:r>
          </w:p>
        </w:tc>
        <w:tc>
          <w:tcPr>
            <w:tcW w:w="600" w:type="dxa"/>
            <w:vAlign w:val="bottom"/>
            <w:tcBorders>
              <w:bottom w:val="single" w:sz="8" w:color="auto"/>
            </w:tcBorders>
          </w:tcPr>
          <w:p>
            <w:pPr>
              <w:spacing w:after="0"/>
              <w:rPr>
                <w:sz w:val="24"/>
                <w:szCs w:val="24"/>
                <w:color w:val="auto"/>
              </w:rPr>
            </w:pPr>
          </w:p>
        </w:tc>
      </w:tr>
      <w:tr>
        <w:trPr>
          <w:trHeight w:val="238"/>
        </w:trPr>
        <w:tc>
          <w:tcPr>
            <w:tcW w:w="7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3"/>
          </w:tcPr>
          <w:p>
            <w:pPr>
              <w:jc w:val="center"/>
              <w:ind w:right="534"/>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20"/>
                <w:szCs w:val="20"/>
                <w:color w:val="auto"/>
              </w:rPr>
            </w:pPr>
          </w:p>
        </w:tc>
      </w:tr>
      <w:tr>
        <w:trPr>
          <w:trHeight w:val="215"/>
        </w:trPr>
        <w:tc>
          <w:tcPr>
            <w:tcW w:w="7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Finance</w:t>
            </w:r>
          </w:p>
        </w:tc>
        <w:tc>
          <w:tcPr>
            <w:tcW w:w="60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10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93"/>
              </w:rPr>
              <w:t>1,750</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9"/>
                <w:szCs w:val="19"/>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w w:val="93"/>
              </w:rPr>
              <w:t>1,308</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126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9"/>
                <w:szCs w:val="19"/>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2026</w:t>
            </w:r>
          </w:p>
        </w:tc>
        <w:tc>
          <w:tcPr>
            <w:tcW w:w="1100" w:type="dxa"/>
            <w:vAlign w:val="bottom"/>
          </w:tcPr>
          <w:p>
            <w:pPr>
              <w:spacing w:after="0"/>
              <w:rPr>
                <w:sz w:val="19"/>
                <w:szCs w:val="19"/>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3"/>
              </w:rPr>
              <w:t>5,684</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823</w:t>
            </w: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2019, the Partnership completed two divestitures described in further detail below.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Red Rock Gathering Asset Disposition. </w:t>
      </w:r>
      <w:r>
        <w:rPr>
          <w:rFonts w:ascii="Arial" w:cs="Arial" w:eastAsia="Arial" w:hAnsi="Arial"/>
          <w:sz w:val="18"/>
          <w:szCs w:val="18"/>
          <w:color w:val="auto"/>
        </w:rPr>
        <w:t>In December 2019, the Partnership completed the sale of certain assets contained in its Piceance Basin reportable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for a cash purchase price of $12.0 million. Prior to the sale, the Partnership recorded an impairment charge of $14.2 million based on the expected consideration and the carrying value for the disposed assets. The financial contribution of these assets in 2019 (a component of the Piceance Basin reportable segment) are included in the Partnership’s consolidated financial statements and footnotes for the period from January 1, 2019 through December 1, 2019.</w:t>
      </w:r>
    </w:p>
    <w:p>
      <w:pPr>
        <w:spacing w:after="0" w:line="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Tioga Midstream Disposition. </w:t>
      </w:r>
      <w:r>
        <w:rPr>
          <w:rFonts w:ascii="Arial" w:cs="Arial" w:eastAsia="Arial" w:hAnsi="Arial"/>
          <w:sz w:val="16"/>
          <w:szCs w:val="16"/>
          <w:color w:val="auto"/>
        </w:rPr>
        <w:t>In March 2019, the Partnership closed on the sale of certain assets contained in the Williston Basin reportable segment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purchase price of $90.0 million. Upon closing the sale in March 2019, the Partnership recorded a gain on sale of $0.9 million based on the difference between the consideration received and the carrying value for disposed assets. The gain is included in the Gain on asset sales, net caption on the consolidated statement of operations. The financial contribution of these assets in 2019 (a component of the Williston Basin reportable segment) are included in the Partnership’s consolidated financial statements and footnotes for the period from January 1, 2019 through March 22,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RESTRUCTURING</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2020 Restructuring Activities. </w:t>
      </w:r>
      <w:r>
        <w:rPr>
          <w:rFonts w:ascii="Arial" w:cs="Arial" w:eastAsia="Arial" w:hAnsi="Arial"/>
          <w:sz w:val="18"/>
          <w:szCs w:val="18"/>
          <w:color w:val="auto"/>
        </w:rPr>
        <w:t>In 2020, management approved and initiated a plan to restructure its operations (“2020 Restructuring Plan”), resulting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management, facility and organizational changes. Under the 2020 Restructuring Plan, the Partnership expensed approximately $5.6 million in 2020 of costs associated with its restructuring activities. These activities consisted primarily of employee-related severance costs, and are included within the General and administrative caption on the consolidated statement of operations.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2019 Restructuring Activities. </w:t>
      </w:r>
      <w:r>
        <w:rPr>
          <w:rFonts w:ascii="Arial" w:cs="Arial" w:eastAsia="Arial" w:hAnsi="Arial"/>
          <w:sz w:val="18"/>
          <w:szCs w:val="18"/>
          <w:color w:val="auto"/>
        </w:rPr>
        <w:t>In 2019, management approved and initiated a plan to restructure its operations (“2019 Restructuring Plan”), resulting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management, facility and organizational changes. Under the 2019 Restructuring Plan, the Partnership expensed approximately $3.5 million and $4.9 million in 2020 and 2019, respectively, of costs associated with its restructuring activities. These activities consisted primarily of employee-related costs and consulting costs in support of the project. These costs are included within the General and administrative caption on the consolidated statement of operations</w:t>
      </w:r>
      <w:r>
        <w:rPr>
          <w:rFonts w:ascii="Arial" w:cs="Arial" w:eastAsia="Arial" w:hAnsi="Arial"/>
          <w:sz w:val="18"/>
          <w:szCs w:val="18"/>
          <w:b w:val="1"/>
          <w:bCs w:val="1"/>
          <w:i w:val="1"/>
          <w:iCs w:val="1"/>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Details for the 2020 Restructuring Plan and the 2019 Restructuring Plan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9"/>
              </w:rPr>
              <w:t>Severance Charges</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Borders>
              <w:bottom w:val="single" w:sz="8" w:color="auto"/>
            </w:tcBorders>
            <w:gridSpan w:val="10"/>
          </w:tcPr>
          <w:p>
            <w:pPr>
              <w:jc w:val="right"/>
              <w:ind w:right="343"/>
              <w:spacing w:after="0"/>
              <w:rPr>
                <w:sz w:val="20"/>
                <w:szCs w:val="20"/>
                <w:color w:val="auto"/>
              </w:rPr>
            </w:pPr>
            <w:r>
              <w:rPr>
                <w:rFonts w:ascii="Arial" w:cs="Arial" w:eastAsia="Arial" w:hAnsi="Arial"/>
                <w:sz w:val="14"/>
                <w:szCs w:val="14"/>
                <w:b w:val="1"/>
                <w:bCs w:val="1"/>
                <w:color w:val="auto"/>
              </w:rPr>
              <w:t>Other Restructuring Charges</w:t>
            </w: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Total Severance and Other</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2020 Restructuring Plan</w:t>
            </w:r>
          </w:p>
        </w:tc>
        <w:tc>
          <w:tcPr>
            <w:tcW w:w="66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5,591</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3"/>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center"/>
              <w:ind w:left="137"/>
              <w:spacing w:after="0"/>
              <w:rPr>
                <w:sz w:val="20"/>
                <w:szCs w:val="20"/>
                <w:color w:val="auto"/>
              </w:rPr>
            </w:pPr>
            <w:r>
              <w:rPr>
                <w:rFonts w:ascii="Arial" w:cs="Arial" w:eastAsia="Arial" w:hAnsi="Arial"/>
                <w:sz w:val="18"/>
                <w:szCs w:val="18"/>
                <w:color w:val="auto"/>
                <w:w w:val="88"/>
              </w:rPr>
              <w:t>5,647</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Restructuring Plan</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2,159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1,293</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1,187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37"/>
              <w:spacing w:after="0"/>
              <w:rPr>
                <w:sz w:val="20"/>
                <w:szCs w:val="20"/>
                <w:color w:val="auto"/>
              </w:rPr>
            </w:pPr>
            <w:r>
              <w:rPr>
                <w:rFonts w:ascii="Arial" w:cs="Arial" w:eastAsia="Arial" w:hAnsi="Arial"/>
                <w:sz w:val="18"/>
                <w:szCs w:val="18"/>
                <w:color w:val="auto"/>
                <w:w w:val="88"/>
              </w:rPr>
              <w:t>3,452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7,750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1,349</w:t>
            </w: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1,187</w:t>
            </w: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center"/>
              <w:ind w:left="137"/>
              <w:spacing w:after="0"/>
              <w:rPr>
                <w:sz w:val="20"/>
                <w:szCs w:val="20"/>
                <w:color w:val="auto"/>
              </w:rPr>
            </w:pPr>
            <w:r>
              <w:rPr>
                <w:rFonts w:ascii="Arial" w:cs="Arial" w:eastAsia="Arial" w:hAnsi="Arial"/>
                <w:sz w:val="18"/>
                <w:szCs w:val="18"/>
                <w:color w:val="auto"/>
                <w:w w:val="88"/>
              </w:rPr>
              <w:t>9,099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80" w:type="dxa"/>
            <w:vAlign w:val="bottom"/>
          </w:tcPr>
          <w:p>
            <w:pPr>
              <w:spacing w:after="0"/>
              <w:rPr>
                <w:sz w:val="24"/>
                <w:szCs w:val="24"/>
                <w:color w:val="auto"/>
              </w:rPr>
            </w:pPr>
          </w:p>
        </w:tc>
        <w:tc>
          <w:tcPr>
            <w:tcW w:w="210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Accrued December 31, 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Charges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262"/>
              <w:spacing w:after="0"/>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Accrued December</w:t>
            </w:r>
          </w:p>
        </w:tc>
        <w:tc>
          <w:tcPr>
            <w:tcW w:w="100" w:type="dxa"/>
            <w:vAlign w:val="bottom"/>
          </w:tcPr>
          <w:p>
            <w:pPr>
              <w:spacing w:after="0"/>
              <w:rPr>
                <w:sz w:val="24"/>
                <w:szCs w:val="24"/>
                <w:color w:val="auto"/>
              </w:rPr>
            </w:pP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24"/>
                <w:szCs w:val="2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Accrued December</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Incurred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w w:val="87"/>
              </w:rPr>
              <w:t>Payments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w w:val="95"/>
              </w:rPr>
              <w:t>31, 2019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Incurred</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4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2,816</w:t>
            </w:r>
          </w:p>
        </w:tc>
        <w:tc>
          <w:tcPr>
            <w:tcW w:w="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3"/>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93"/>
              </w:rPr>
              <w:t>7,750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center"/>
              <w:ind w:left="117"/>
              <w:spacing w:after="0"/>
              <w:rPr>
                <w:sz w:val="20"/>
                <w:szCs w:val="20"/>
                <w:color w:val="auto"/>
              </w:rPr>
            </w:pPr>
            <w:r>
              <w:rPr>
                <w:rFonts w:ascii="Arial" w:cs="Arial" w:eastAsia="Arial" w:hAnsi="Arial"/>
                <w:sz w:val="18"/>
                <w:szCs w:val="18"/>
                <w:color w:val="auto"/>
                <w:w w:val="94"/>
              </w:rPr>
              <w:t>(7,018)</w:t>
            </w: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3"/>
          </w:tcPr>
          <w:p>
            <w:pPr>
              <w:jc w:val="right"/>
              <w:ind w:right="27"/>
              <w:spacing w:after="0"/>
              <w:rPr>
                <w:sz w:val="20"/>
                <w:szCs w:val="20"/>
                <w:color w:val="auto"/>
              </w:rPr>
            </w:pPr>
            <w:r>
              <w:rPr>
                <w:rFonts w:ascii="Arial" w:cs="Arial" w:eastAsia="Arial" w:hAnsi="Arial"/>
                <w:sz w:val="18"/>
                <w:szCs w:val="18"/>
                <w:color w:val="auto"/>
                <w:w w:val="93"/>
              </w:rPr>
              <w:t>1,349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left="117"/>
              <w:spacing w:after="0"/>
              <w:rPr>
                <w:sz w:val="20"/>
                <w:szCs w:val="20"/>
                <w:color w:val="auto"/>
              </w:rPr>
            </w:pPr>
            <w:r>
              <w:rPr>
                <w:rFonts w:ascii="Arial" w:cs="Arial" w:eastAsia="Arial" w:hAnsi="Arial"/>
                <w:sz w:val="18"/>
                <w:szCs w:val="18"/>
                <w:color w:val="auto"/>
                <w:w w:val="94"/>
              </w:rPr>
              <w:t>(1,349)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99"/>
              </w:rPr>
              <w:t>Total restructuring costs</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4,954</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2,816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3"/>
            <w:shd w:val="clear" w:color="auto" w:fill="CFF0FC"/>
          </w:tcPr>
          <w:p>
            <w:pPr>
              <w:jc w:val="right"/>
              <w:ind w:right="27"/>
              <w:spacing w:after="0"/>
              <w:rPr>
                <w:sz w:val="20"/>
                <w:szCs w:val="20"/>
                <w:color w:val="auto"/>
              </w:rPr>
            </w:pPr>
            <w:r>
              <w:rPr>
                <w:rFonts w:ascii="Arial" w:cs="Arial" w:eastAsia="Arial" w:hAnsi="Arial"/>
                <w:sz w:val="18"/>
                <w:szCs w:val="18"/>
                <w:color w:val="auto"/>
                <w:w w:val="93"/>
              </w:rPr>
              <w:t>9,099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center"/>
              <w:ind w:left="117"/>
              <w:spacing w:after="0"/>
              <w:rPr>
                <w:sz w:val="20"/>
                <w:szCs w:val="20"/>
                <w:color w:val="auto"/>
              </w:rPr>
            </w:pPr>
            <w:r>
              <w:rPr>
                <w:rFonts w:ascii="Arial" w:cs="Arial" w:eastAsia="Arial" w:hAnsi="Arial"/>
                <w:sz w:val="18"/>
                <w:szCs w:val="18"/>
                <w:color w:val="auto"/>
                <w:w w:val="94"/>
              </w:rPr>
              <w:t>(8,367)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3,548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Partnership’s reportable segments are:</w:t>
      </w:r>
    </w:p>
    <w:p>
      <w:pPr>
        <w:spacing w:after="0" w:line="117" w:lineRule="exact"/>
        <w:rPr>
          <w:sz w:val="20"/>
          <w:szCs w:val="20"/>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Ohio Gathering, which includes the Partnership’s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Meadowlark Midstream and Bison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Until March 22, 2019, the Partnership owned Tioga Midstream, a crude oil, produced water and associated natural gas gathering system operating in the Williston Basin. Until December 1, 2019, the Partnership owned certain assets in the Red Rock Gathering system operating in the Piceance Basin. Refer to Note 16 to the consolidated financial statements for details on the sale of Tioga Midstream and on the sale of certain assets in the Red Rock Gathering system.</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Each of the Partnership’s reportable segments provides midstream services in a specific geographic area. Reportable segments reflect the way in which the Partnership internally report’s the financial information used to make decisions and allocate resources in connection with its operations.</w:t>
      </w:r>
    </w:p>
    <w:p>
      <w:pPr>
        <w:spacing w:after="0" w:line="3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Ohio Gathering reportable segment includes the Partnership’s investment in Ohio Gathering. Income or loss from equity method investees, as reflected on the statements of operations, relates to Ohio Gathering and is recognized and disclosed on a one-month lag see Note 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year ended December 31, 2020, other than the investment activity described in Note 7, Double E did not have any results of operations given that the Double E Project is currently under development. The Double E Project is expected to be operational in the fourth quarter of 2021.</w:t>
      </w:r>
    </w:p>
    <w:p>
      <w:pPr>
        <w:spacing w:after="0" w:line="3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(such as Double E); or (iii) have not been allocated to a reportable segments for the purpose of evaluating their performance, including certain general and administrative expense items, certain natural gas and crude oil marketing services and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r>
      <w:tr>
        <w:trPr>
          <w:trHeight w:val="155"/>
        </w:trPr>
        <w:tc>
          <w:tcPr>
            <w:tcW w:w="25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2019</w:t>
            </w:r>
          </w:p>
        </w:tc>
      </w:tr>
      <w:tr>
        <w:trPr>
          <w:trHeight w:val="156"/>
        </w:trPr>
        <w:tc>
          <w:tcPr>
            <w:tcW w:w="25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ind w:right="107"/>
              <w:spacing w:after="0" w:line="155" w:lineRule="exact"/>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3"/>
                <w:szCs w:val="13"/>
                <w:color w:val="auto"/>
              </w:rPr>
            </w:pP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4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Utica Shale</w:t>
            </w:r>
          </w:p>
        </w:tc>
        <w:tc>
          <w:tcPr>
            <w:tcW w:w="5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209,425</w:t>
            </w:r>
          </w:p>
        </w:tc>
        <w:tc>
          <w:tcPr>
            <w:tcW w:w="18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206,368</w:t>
            </w: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4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259,888</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275,000</w:t>
            </w: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Williston Basin</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425,873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452,152</w:t>
            </w: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4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199,920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205,308</w:t>
            </w: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Permian Basin</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165,765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185,708</w:t>
            </w: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4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579,800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631,140</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Barnett Shale</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336,629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350,638</w:t>
            </w: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49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176,441</w:t>
            </w:r>
          </w:p>
        </w:tc>
        <w:tc>
          <w:tcPr>
            <w:tcW w:w="1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184,631</w:t>
            </w:r>
          </w:p>
        </w:tc>
      </w:tr>
      <w:tr>
        <w:trPr>
          <w:trHeight w:val="223"/>
        </w:trPr>
        <w:tc>
          <w:tcPr>
            <w:tcW w:w="2560" w:type="dxa"/>
            <w:vAlign w:val="bottom"/>
          </w:tcPr>
          <w:p>
            <w:pPr>
              <w:ind w:left="140"/>
              <w:spacing w:after="0"/>
              <w:rPr>
                <w:sz w:val="20"/>
                <w:szCs w:val="20"/>
                <w:color w:val="auto"/>
              </w:rPr>
            </w:pPr>
            <w:r>
              <w:rPr>
                <w:rFonts w:ascii="Arial" w:cs="Arial" w:eastAsia="Arial" w:hAnsi="Arial"/>
                <w:sz w:val="18"/>
                <w:szCs w:val="18"/>
                <w:color w:val="auto"/>
                <w:w w:val="93"/>
              </w:rPr>
              <w:t>Total reportable segment assets</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2,353,741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2,490,945</w:t>
            </w:r>
          </w:p>
        </w:tc>
      </w:tr>
      <w:tr>
        <w:trPr>
          <w:trHeight w:val="229"/>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49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146,076</w:t>
            </w:r>
          </w:p>
        </w:tc>
        <w:tc>
          <w:tcPr>
            <w:tcW w:w="1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83,153</w:t>
            </w:r>
          </w:p>
        </w:tc>
      </w:tr>
      <w:tr>
        <w:trPr>
          <w:trHeight w:val="223"/>
        </w:trPr>
        <w:tc>
          <w:tcPr>
            <w:tcW w:w="25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49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2,499,817</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2,574,098</w:t>
            </w:r>
          </w:p>
        </w:tc>
      </w:tr>
      <w:tr>
        <w:trPr>
          <w:trHeight w:val="20"/>
        </w:trPr>
        <w:tc>
          <w:tcPr>
            <w:tcW w:w="25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31" w:lineRule="exact"/>
        <w:rPr>
          <w:sz w:val="20"/>
          <w:szCs w:val="20"/>
          <w:color w:val="auto"/>
        </w:rPr>
      </w:pPr>
    </w:p>
    <w:p>
      <w:pPr>
        <w:ind w:firstLine="8"/>
        <w:spacing w:after="0" w:line="254" w:lineRule="auto"/>
        <w:tabs>
          <w:tab w:leader="none" w:pos="201" w:val="left"/>
        </w:tabs>
        <w:numPr>
          <w:ilvl w:val="0"/>
          <w:numId w:val="91"/>
        </w:numPr>
        <w:rPr>
          <w:rFonts w:ascii="Arial" w:cs="Arial" w:eastAsia="Arial" w:hAnsi="Arial"/>
          <w:sz w:val="23"/>
          <w:szCs w:val="23"/>
          <w:color w:val="auto"/>
          <w:vertAlign w:val="superscript"/>
        </w:rPr>
      </w:pPr>
      <w:r>
        <w:rPr>
          <w:rFonts w:ascii="Arial" w:cs="Arial" w:eastAsia="Arial" w:hAnsi="Arial"/>
          <w:sz w:val="14"/>
          <w:szCs w:val="14"/>
          <w:color w:val="auto"/>
        </w:rPr>
        <w:t>At December 31, 2020, Corporate and Other included $132.9 million relating to the Partnership’s investment in Double E (included in the Investment in equity method investees caption of the consolidated balance sheet). At December 31, 2019, Corporate and Other included $34.7 million relating to the Partnership’s investment in Double E (included in the Investment in equity method investees caption of the consolidated balance sheet).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Revenues by reportable segment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ind w:right="9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gridSpan w:val="5"/>
          </w:tcPr>
          <w:p>
            <w:pPr>
              <w:jc w:val="right"/>
              <w:ind w:right="170"/>
              <w:spacing w:after="0" w:line="155"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Utica Shale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36,509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33,991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92,695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105,651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DJ Basin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Permian Basin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Piceance Basin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133,638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Barnett Shale</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71,802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Marcellus Shale</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380,897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415,906</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30,552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Eliminations</w:t>
            </w:r>
          </w:p>
        </w:tc>
        <w:tc>
          <w:tcPr>
            <w:tcW w:w="32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383,473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443,528</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Counterparties accounting for a significant portion of total revenues were as follows:</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Counterparty A - Piceance Basin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B - Williston Basin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Counterparty C - Utica Shale</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C - Permian Basin</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Counterparty C - Barnett Shale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6198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Less than 10%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including the amortization expense associated with the Partnership’s favorable and unfavorable gas gathering contracts as reported in other revenues, by reportable segment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2660" w:type="dxa"/>
            <w:vAlign w:val="bottom"/>
            <w:gridSpan w:val="2"/>
            <w:shd w:val="clear" w:color="auto" w:fill="CFF0FC"/>
          </w:tcPr>
          <w:p>
            <w:pPr>
              <w:jc w:val="right"/>
              <w:ind w:right="7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7,696</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78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7,659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Williston Basin</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25,911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19,829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Permian Basin</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5,455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4,868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45,203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47,018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Barnett Shale</w:t>
            </w:r>
            <w:r>
              <w:rPr>
                <w:rFonts w:ascii="Arial" w:cs="Arial" w:eastAsia="Arial" w:hAnsi="Arial"/>
                <w:sz w:val="15"/>
                <w:szCs w:val="15"/>
                <w:color w:val="auto"/>
              </w:rPr>
              <w:t>(1)</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16,112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16,575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7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9,195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115,718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108,822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7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Total depreciation and amortization</w:t>
            </w:r>
          </w:p>
        </w:tc>
        <w:tc>
          <w:tcPr>
            <w:tcW w:w="174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119,070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111,574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1" w:lineRule="exact"/>
        <w:rPr>
          <w:sz w:val="20"/>
          <w:szCs w:val="20"/>
          <w:color w:val="auto"/>
        </w:rPr>
      </w:pPr>
    </w:p>
    <w:p>
      <w:pPr>
        <w:ind w:left="200" w:hanging="192"/>
        <w:spacing w:after="0"/>
        <w:tabs>
          <w:tab w:leader="none" w:pos="20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Includes the amortization expense associated with the Partnership’s favorable and unfavorable gas gathering contracts as reported in Other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0" w:type="dxa"/>
            <w:vAlign w:val="bottom"/>
            <w:gridSpan w:val="3"/>
          </w:tcPr>
          <w:p>
            <w:pPr>
              <w:jc w:val="right"/>
              <w:ind w:right="556"/>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Utica Shale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6,957</w:t>
            </w:r>
          </w:p>
        </w:tc>
        <w:tc>
          <w:tcPr>
            <w:tcW w:w="16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3,902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8,767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30,861</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DJ Basin</w:t>
            </w: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12,829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80,487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7,014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44,955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Piceance Basin</w:t>
            </w:r>
          </w:p>
        </w:tc>
        <w:tc>
          <w:tcPr>
            <w:tcW w:w="98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1,370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1,946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r>
              <w:rPr>
                <w:rFonts w:ascii="Arial" w:cs="Arial" w:eastAsia="Arial" w:hAnsi="Arial"/>
                <w:sz w:val="15"/>
                <w:szCs w:val="15"/>
                <w:color w:val="auto"/>
              </w:rPr>
              <w:t>(1)</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693</w:t>
            </w: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39,515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163,028</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3,613</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19,263</w:t>
            </w:r>
          </w:p>
        </w:tc>
      </w:tr>
      <w:tr>
        <w:trPr>
          <w:trHeight w:val="223"/>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98"/>
              </w:rPr>
              <w:t>43,128</w:t>
            </w: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182,291</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74"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For the year ended December 31, 2019, the amount includes sales tax reimbursements of $1.1 million.</w:t>
      </w:r>
    </w:p>
    <w:p>
      <w:pPr>
        <w:spacing w:after="0" w:line="11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For the year ended December 31, 2019, Corporate and Other includes cash paid of $1.6 million for corporate purposes; the remainder represents capital expenditures relating to the Double E Project.</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Partnership assesses the performance of its reportable segments based on segment adjusted EBITDA. The Partnership defines segment adjusted EBITDA as total revenues less total costs and expenses; plus (i) other income excluding interest income, (ii) proportional adjusted EBITDA for equity method investees, (iii) depreciation and amortization, (iv) adjustments related to MVC shortfall payments, (v) adjustments related to capital reimbursement activity, (vi) unit-based and noncash compensation, (vii) impairments (vii) other noncash expenses or losses, less other noncash income or gains and (ix) restructuring expenses. Proportional adjusted EBITDA for the Partnership’s equity method investees is defined as the product of (i) total revenues less total expenses, excluding impairments and other noncash income or expense items, and amortization for deferred contract costs; and (ii) ownership interest in Ohio Gathering during the respective period.</w:t>
      </w:r>
    </w:p>
    <w:p>
      <w:pPr>
        <w:spacing w:after="0" w:line="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 of evaluating segment performance, the Partnership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940" w:type="dxa"/>
            <w:vAlign w:val="bottom"/>
          </w:tcPr>
          <w:p>
            <w:pPr>
              <w:spacing w:after="0"/>
              <w:rPr>
                <w:sz w:val="15"/>
                <w:szCs w:val="15"/>
                <w:color w:val="auto"/>
              </w:rPr>
            </w:pPr>
          </w:p>
        </w:tc>
        <w:tc>
          <w:tcPr>
            <w:tcW w:w="18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32,783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Ohio Gathering</w:t>
            </w:r>
          </w:p>
        </w:tc>
        <w:tc>
          <w:tcPr>
            <w:tcW w:w="9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31,056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52,060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69,437</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DJ Basin</w:t>
            </w:r>
          </w:p>
        </w:tc>
        <w:tc>
          <w:tcPr>
            <w:tcW w:w="9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19,449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4,426</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Piceance Basin</w:t>
            </w:r>
          </w:p>
        </w:tc>
        <w:tc>
          <w:tcPr>
            <w:tcW w:w="9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88,820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98,765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32,093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43,043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22,015</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20,051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9"/>
              </w:rPr>
              <w:t>282,702</w:t>
            </w: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317,503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4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2288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0</wp:posOffset>
            </wp:positionV>
            <wp:extent cx="22288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ind w:left="898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(loss) before income taxes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and income (loss) from equity method investees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 total of reportable segments' measures 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profit: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 and income</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177,661</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(54,644)</w:t>
            </w:r>
          </w:p>
        </w:tc>
      </w:tr>
      <w:tr>
        <w:trPr>
          <w:trHeight w:val="230"/>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from equity method investees</w:t>
            </w:r>
          </w:p>
        </w:tc>
        <w:tc>
          <w:tcPr>
            <w:tcW w:w="5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59,585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44,808</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78,894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91,966</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early extinguishment of debt</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(203,062)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119,070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111,574</w:t>
            </w: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31,056</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39,126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investees</w:t>
            </w:r>
          </w:p>
        </w:tc>
        <w:tc>
          <w:tcPr>
            <w:tcW w:w="5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5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3,476</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8,111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8,171</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13,089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60,507</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16,211</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282,702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317,503</w:t>
            </w:r>
          </w:p>
        </w:tc>
      </w:tr>
      <w:tr>
        <w:trPr>
          <w:trHeight w:val="20"/>
        </w:trPr>
        <w:tc>
          <w:tcPr>
            <w:tcW w:w="7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1"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Includes the amortization expense associated with the Partnership’s favorable gas gathering contracts as reported in other revenues.</w:t>
      </w:r>
    </w:p>
    <w:p>
      <w:pPr>
        <w:spacing w:after="0" w:line="1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December 31, 2020 and 2019, adjustments related to MVC shortfall payments recognize the earnings from MVC shortfall payments ratably over the term of the associated MVC.</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Contributions in aid of construction are recognized over the remaining term of the respective contract. The Partnership includes adjustments related to capital reimbursement activity in its calculation of segment adjusted EBITDA to account for revenue recognized from contributions in aid of construction.</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SUBSEQUENT EVENTS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January 2021, Double E received its Notice to Proceed with construction, as well as approval of its implementation plan, from FERC. With the receipt of the 7(c) certificate and the NTP, construction on the Double E pipeline commenced in February 2021, and the pipeline is expected to be in-service by the end of 2021.</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February 2021, Summit Permian Transmission, LLC, received $175.0 million of commitments to finance the development of the Double E Project. The lenders have committed to provide senior secured credit facilities consisting of a $160.0 million delayed draw term loan facility and a $15.0 million working capital facility (the “Credit Facilities”). The Credit Facilities</w:t>
      </w:r>
    </w:p>
    <w:p>
      <w:pPr>
        <w:sectPr>
          <w:pgSz w:w="11900" w:h="16838" w:orient="portrait"/>
          <w:cols w:equalWidth="0" w:num="1">
            <w:col w:w="11240"/>
          </w:cols>
          <w:pgMar w:left="320" w:top="247"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are non-recourse to SMLP and mature seven years after the date of initial borrowing. SMLP expects to close and fund on the Credit Facilities shortly and will post a $15.0 million letter of credit under its corporate revolving credit facility to support back-end equity contributions, if needed, upon first funding.</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47" w:right="4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changes in, or disagreements with, accountants on accounting and financial disclosure matters during the years ended December 31,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Commission’s rules and forms, and that information is accumulated and communicated to the management of our General Partner, including our General Partner’s principal executive and principal financial officers (whom we refer to as the Certifying Officers), as appropriate to allow timely decisions regarding required disclosure. SMLP’s management, with the participation of the Chief Executive Officer and Chief Financial Officer of SMLP's General Partner, has evaluated the effectiveness of SMLP’s disclosure controls and procedures (as such term is defined in Rules 13a-15(e) and 15d-15(e) under the Exchange Act) as of the end of the period covered by this annual report (the "Evaluation Date"). Based on such evaluation, the Chief Executive Officer and Chief Financial Officer of SMLP's General Partner have concluded that, as of the Evaluation Date, SMLP’s disclosure controls and procedures are effective.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There have not been any changes in SMLP’s internal control over financial reporting (as such term is defined in Rules 13a-15(f) and 15d-15(f) under the Exchange Act) during the fourth fiscal quarter of 2020 that have materially affected, or are reasonably likely to materially affect, SMLP's internal control over financial reporting.</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47" w:right="4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General Partner is responsible for establishing and maintaining adequate internal control over financial reporting for the Partnership. With our participation, an evaluation of the effectiveness of our internal control over financial reporting was conducted as of December 31, 2020,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has concluded that our internal control over financial reporting was effective as of December 31, 2020. Our independent registered public accounting firm has issued an audit report on our internal control over financial reporting, included below of this report.</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J.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175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 Heath Deneke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 Summit Midstream GP,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LLC (the General Partner of SMLP)</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175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 D. Stratton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Executive Vice President and Chief Financial Officer, Summit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Midstream GP, LLC (the General Partner of SMLP)</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47" w:right="4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Summit Midstream, GP, LLC and the unitholders of Summit Midstream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internal control over financial reporting of Summit Midstream Partners, LP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(the “Partnership”) as of December 31, 2020, based on criteria established in </w:t>
      </w:r>
      <w:r>
        <w:rPr>
          <w:rFonts w:ascii="Arial" w:cs="Arial" w:eastAsia="Arial" w:hAnsi="Arial"/>
          <w:sz w:val="18"/>
          <w:szCs w:val="18"/>
          <w:i w:val="1"/>
          <w:iCs w:val="1"/>
          <w:color w:val="auto"/>
        </w:rPr>
        <w:t>Internal Control</w:t>
      </w:r>
    </w:p>
    <w:p>
      <w:pPr>
        <w:spacing w:after="0" w:line="117" w:lineRule="exact"/>
        <w:rPr>
          <w:sz w:val="20"/>
          <w:szCs w:val="20"/>
          <w:color w:val="auto"/>
        </w:rPr>
      </w:pPr>
    </w:p>
    <w:p>
      <w:pPr>
        <w:ind w:left="600" w:right="240" w:hanging="185"/>
        <w:spacing w:after="0" w:line="263" w:lineRule="auto"/>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 (COSO). In our opinion,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Partnership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COSO.</w:t>
      </w:r>
    </w:p>
    <w:p>
      <w:pPr>
        <w:spacing w:after="0" w:line="11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Partnership and our report dated March 4, 2021, expressed an unqualified opinion on those financial statements based on our audit.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generally accepted accounting principles,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spacing w:after="0" w:line="5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Summit Midstream Partners, LP</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Partnership is managed by the directors and executive officers of its General Partner, a wholly owned subsidiary of the Partnership as of December 31, 2020. The General Partner became a wholly owned subsidiary of the Partnership in May 2020 as a result of the GP Buy-In Transaction. Directors are appointed for a term of three years and hold office until their successors have been elected or qualified or until the earlier of their death, resignation, removal or disqualification. In connection with the GP Buy-In Transaction, the Partnership amended its Partnership Agreement to, among other things, provide its common unitholders with voting rights in the election of the members of the Board on a staggered basis beginning in 2022. The Board is divided into three classes of directors. Two Class I directors will serve for an initial term that expires at the 2022 annual meeting, two Class II directors will serve for an initial term that expires at the 2023 annual meeting, and one Class III director will serve for an initial term that expires at the 2024 annual meeting. J. Heath Deneke, President and Chief Executive Offer of the general partner, serves as Chairman of the Board and will not be subject to public election.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Board of Directors has an Audit Committee, a Compensation Committee, and a Corporate Governance and Nominating Committee, and may have such other committees as the Board of Directors shall determine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current membership of each standing board committee and indicates which directors are independent directors.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Corporate</w:t>
            </w:r>
          </w:p>
        </w:tc>
        <w:tc>
          <w:tcPr>
            <w:tcW w:w="11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Governance &amp;</w:t>
            </w:r>
          </w:p>
        </w:tc>
        <w:tc>
          <w:tcPr>
            <w:tcW w:w="11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Audit</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Nominating</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Independent</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Committee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Committee</w:t>
            </w:r>
            <w:r>
              <w:rPr>
                <w:rFonts w:ascii="Arial" w:cs="Arial" w:eastAsia="Arial" w:hAnsi="Arial"/>
                <w:sz w:val="15"/>
                <w:szCs w:val="15"/>
                <w:b w:val="1"/>
                <w:bCs w:val="1"/>
                <w:color w:val="auto"/>
                <w:w w:val="91"/>
              </w:rPr>
              <w:t>(1)</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Committee</w:t>
            </w:r>
            <w:r>
              <w:rPr>
                <w:rFonts w:ascii="Arial" w:cs="Arial" w:eastAsia="Arial" w:hAnsi="Arial"/>
                <w:sz w:val="15"/>
                <w:szCs w:val="15"/>
                <w:b w:val="1"/>
                <w:bCs w:val="1"/>
                <w:color w:val="auto"/>
                <w:w w:val="93"/>
              </w:rPr>
              <w:t>(2)</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23"/>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James Cleary</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Class III</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Member</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Heath Deneke</w:t>
            </w:r>
            <w:r>
              <w:rPr>
                <w:rFonts w:ascii="Arial" w:cs="Arial" w:eastAsia="Arial" w:hAnsi="Arial"/>
                <w:sz w:val="15"/>
                <w:szCs w:val="15"/>
                <w:color w:val="auto"/>
              </w:rPr>
              <w:t>(3)</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 Jacobe</w:t>
            </w:r>
          </w:p>
        </w:tc>
        <w:tc>
          <w:tcPr>
            <w:tcW w:w="13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Class I</w:t>
            </w: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Member</w:t>
            </w:r>
          </w:p>
        </w:tc>
        <w:tc>
          <w:tcPr>
            <w:tcW w:w="13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Member</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3"/>
              </w:rPr>
              <w:t>Yes</w:t>
            </w: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Robert McNally</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Class II</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Member</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Jerry L. Peters</w:t>
            </w:r>
          </w:p>
        </w:tc>
        <w:tc>
          <w:tcPr>
            <w:tcW w:w="13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Class I</w:t>
            </w: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Chair</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Member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3"/>
              </w:rPr>
              <w:t>Yes</w:t>
            </w: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Robert Wohleber</w:t>
            </w:r>
            <w:r>
              <w:rPr>
                <w:rFonts w:ascii="Arial" w:cs="Arial" w:eastAsia="Arial" w:hAnsi="Arial"/>
                <w:sz w:val="15"/>
                <w:szCs w:val="15"/>
                <w:color w:val="auto"/>
              </w:rPr>
              <w:t>(4)</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Class III</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Chair</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Marguerite Woung-Chapman</w:t>
            </w: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Class II</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Chair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3"/>
              </w:rPr>
              <w:t>Yes</w:t>
            </w:r>
          </w:p>
        </w:tc>
      </w:tr>
    </w:tbl>
    <w:p>
      <w:pPr>
        <w:spacing w:after="0" w:line="94" w:lineRule="exact"/>
        <w:rPr>
          <w:sz w:val="20"/>
          <w:szCs w:val="20"/>
          <w:color w:val="auto"/>
        </w:rPr>
      </w:pPr>
    </w:p>
    <w:p>
      <w:pPr>
        <w:ind w:left="240" w:hanging="232"/>
        <w:spacing w:after="0"/>
        <w:tabs>
          <w:tab w:leader="none" w:pos="2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In May 2020, the Conflicts Committee ceased to be a standing Committee of the Board.</w:t>
      </w:r>
    </w:p>
    <w:p>
      <w:pPr>
        <w:spacing w:after="0" w:line="23" w:lineRule="exact"/>
        <w:rPr>
          <w:rFonts w:ascii="Arial" w:cs="Arial" w:eastAsia="Arial" w:hAnsi="Arial"/>
          <w:sz w:val="15"/>
          <w:szCs w:val="15"/>
          <w:color w:val="auto"/>
        </w:rPr>
      </w:pPr>
    </w:p>
    <w:p>
      <w:pPr>
        <w:ind w:left="240" w:hanging="232"/>
        <w:spacing w:after="0"/>
        <w:tabs>
          <w:tab w:leader="none" w:pos="2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The Corporate Governance and Nominating Committee of the Board was established in May 2020</w:t>
      </w:r>
    </w:p>
    <w:p>
      <w:pPr>
        <w:spacing w:after="0" w:line="9" w:lineRule="exact"/>
        <w:rPr>
          <w:rFonts w:ascii="Arial" w:cs="Arial" w:eastAsia="Arial" w:hAnsi="Arial"/>
          <w:sz w:val="15"/>
          <w:szCs w:val="15"/>
          <w:color w:val="auto"/>
        </w:rPr>
      </w:pPr>
    </w:p>
    <w:p>
      <w:pPr>
        <w:ind w:left="240" w:hanging="232"/>
        <w:spacing w:after="0"/>
        <w:tabs>
          <w:tab w:leader="none" w:pos="2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Mr. Deneke was appointed Chairman of Board effective May 28, 2020</w:t>
      </w:r>
    </w:p>
    <w:p>
      <w:pPr>
        <w:spacing w:after="0" w:line="9" w:lineRule="exact"/>
        <w:rPr>
          <w:rFonts w:ascii="Arial" w:cs="Arial" w:eastAsia="Arial" w:hAnsi="Arial"/>
          <w:sz w:val="15"/>
          <w:szCs w:val="15"/>
          <w:color w:val="auto"/>
        </w:rPr>
      </w:pPr>
    </w:p>
    <w:p>
      <w:pPr>
        <w:ind w:left="240" w:hanging="232"/>
        <w:spacing w:after="0"/>
        <w:tabs>
          <w:tab w:leader="none" w:pos="2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Mr. Wohleber was appointed as the Lead Director effective May 28,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Each of the standing committees of the Board of Directors will have the composition and responsibilities described below.</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Mr. Jacobe, Mr. McNally and Mr. Peters serve as the members of the Audit Committee. Mr. Peters serves as the chair of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this role, Mr. Peters satisfies the SEC and New York Stock Exchange rules regarding independence and qualifies as an Audit Committee financial expert.</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Audit Committee assists the Board of Directors in its oversight of the integrity of the Partnership’s financial statements and its compliance with legal and regulatory requirements and corporate policies and controls. The Audit Committee has the sole authority to retain and terminate the Partnership’s independent registered public accounting firm, approve all auditing services and related fees and the terms thereof, and pre-approve any non-audit services to be rendered by the Partnership’s independent registered public accounting firm. The Audit Committee is also responsible for confirming the independence and objectivity of the Partnership’s independent registered public accounting firm. The Partnership’s independent registered public accounting firm has unrestricted access to the Audit Committee.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Partnership’s Audit Committee has adopted an audit committee charter, which is publicly available on the Partnership’s website under the "Corporate Governance" subsection of the “Investors” section at www.summitmidstream.com.</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Mr. Cleary, Mr. Jacobe, and Mr. Wohleber serve as the members of the Compensation Committee, with Mr. Wohleber serving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chair of the committee. The Compensation Committee provides oversight, administers and makes decisions regarding the Partnership’s executive compensation policies and incentive plans. The Compensation Committee has adopted a Compensation Committee charter, which is publicly available on its website under the “Corporate Governance” subsection of the “Investors” section at www.summitmidstream.com.</w:t>
      </w:r>
    </w:p>
    <w:p>
      <w:pPr>
        <w:spacing w:after="0" w:line="6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Corporate Governance and Nominating Committee</w:t>
      </w:r>
      <w:r>
        <w:rPr>
          <w:rFonts w:ascii="Arial" w:cs="Arial" w:eastAsia="Arial" w:hAnsi="Arial"/>
          <w:sz w:val="17"/>
          <w:szCs w:val="17"/>
          <w:color w:val="auto"/>
        </w:rPr>
        <w:t>. Mr. Cleary, Mr. Peters, and Ms. Woung-Chapman serve as the members of the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Nominating Committee, with Ms. Woung-Chapman serving as the chair of the Corporate Governance and Nominating Committee, which was established by the Board of Directors on May 28,2020. The Corporate Governance and Nominating Committee identifies individuals qualified to become board members consistent with criteria approved by the Board of Directors, assists the Board of Directors in selection of directors nominees; oversees corporate governance principles, and oversees the evaluation of the Board of Directors and management. The Corporate Governance and Nominating Committee has adopted a Corporate Governance and Nominating Committee charter, which is publicly available on its website under the “Corporate Governance” subsection of the “Investors” section at www.summitmidstream.com.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Directors of the General Partner are appointed for a term of three years and hold office until their successors have been elected or qualified or until the earlier of their death, resignation, removal or disqualification. In connection with the GP Buy-In Transaction, the Partnership amended its Partnership Agreement to, among other things, provide its common unitholders with voting rights in the election of the members of the Board on a staggered basis beginning in 2022. Officers serve at the discretion of the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for the directors and executive officers of the General Partner as of February 25,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Age</w:t>
            </w: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Position with Summit Midstream GP, LLC</w:t>
            </w: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5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Marc D. Stratton</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D. Johnston</w:t>
            </w: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Vice President, General Counsel and Chief</w:t>
            </w:r>
          </w:p>
        </w:tc>
      </w:tr>
      <w:tr>
        <w:trPr>
          <w:trHeight w:val="230"/>
        </w:trPr>
        <w:tc>
          <w:tcPr>
            <w:tcW w:w="4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Compliance Officer</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Robert M. Wohleber</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 Jacobe</w:t>
            </w: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Robert McNally</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Jerry Peters</w:t>
            </w: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James Cleary</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Marguerite Woung-Chapman</w:t>
            </w: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Heath Deneke </w:t>
      </w:r>
      <w:r>
        <w:rPr>
          <w:rFonts w:ascii="Arial" w:cs="Arial" w:eastAsia="Arial" w:hAnsi="Arial"/>
          <w:sz w:val="16"/>
          <w:szCs w:val="16"/>
          <w:color w:val="auto"/>
        </w:rPr>
        <w:t>has been President and Chief Executive Officer and a director of the General Partner since September 2019. Prior to joining the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Mr. Deneke served as Executive Vice President, Chief Operating Officer for Crestwood Equity Partners LP and Crestwood Midstream Partners LP from August 2017 through April 2019. Previously, Mr. Deneke was the President, Chief Operating Officer of Crestwood’s Pipeline Services Group from June 2015 to August 2017, where he was responsible for the commercial development and operations of Crestwood’s midstream businesses, including assets in the Marcellus, Bakken, PRB Niobrara, Delaware, Permian, Barnett, Granite Wash, Fayetteville and Haynesville shale plays. Prior to that, he served as President of Crestwood’s Natural Gas Business Unit from October 2013 to June 2015 and as Senior Vice President and Chief Commercial Officer of Crestwood’s legacy business from August 2012 until October 2013. Prior to joining Crestwood, Mr. Deneke served in various management positions at El Paso Corporation and its affiliates, including Vice President of Project Development and Engineering for the Pipeline Group, Director of Marketing and Asset Optimization for Tennessee Gas Pipeline Company, LLC and Manager of Business Development and Strategy for Southern Natural Gas Company, LLC. Mr. Deneke holds a bachelor’s degree in Mechanical Engineering from Auburn University.</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Marc D. Stratton </w:t>
      </w:r>
      <w:r>
        <w:rPr>
          <w:rFonts w:ascii="Arial" w:cs="Arial" w:eastAsia="Arial" w:hAnsi="Arial"/>
          <w:sz w:val="18"/>
          <w:szCs w:val="18"/>
          <w:color w:val="auto"/>
        </w:rPr>
        <w:t>has been the Executive Vice President and Chief Financial Officer of the General Partner since December 2018. Mr. Stratton joined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Investments as a founding member in 2009 and has held various senior management roles at the General Partner including, Senior Vice President of Finance, Treasurer and Head of Investor Relations. Prior to joining the General Partner, Mr. Stratton served as a midstream infrastructure investment analyst at ING Investment Management and, prior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that, as Vice President of Project Finance at SunTrust Robinson Humphrey. Mr. Stratton has over 18 years of oil and gas industry experience in corporate finance and holds a bachelor’s degree in Economics from Denison University.</w:t>
      </w:r>
    </w:p>
    <w:p>
      <w:pPr>
        <w:spacing w:after="0" w:line="6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i w:val="1"/>
          <w:iCs w:val="1"/>
          <w:color w:val="auto"/>
        </w:rPr>
        <w:t xml:space="preserve">James Johnston </w:t>
      </w:r>
      <w:r>
        <w:rPr>
          <w:rFonts w:ascii="Arial" w:cs="Arial" w:eastAsia="Arial" w:hAnsi="Arial"/>
          <w:sz w:val="17"/>
          <w:szCs w:val="17"/>
          <w:color w:val="auto"/>
        </w:rPr>
        <w:t>has been the Executive Vice President, General Counsel and Chief Compliance Officer of the General Partner since September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the General Partner, Mr. Johnston worked in the corporate legal department for Crestwood Equity Partners as Senior Vice President and General Counsel, after serving as Vice President, Deputy General Counsel at Crestwood. Prior to joining Crestwood in 2013, Mr. Johnston served as Assistant General Counsel for Kinder Morgan and in various legal and commercial roles of increasing responsibility at Kinder Morgan, El Paso Corporation and Sonat, Inc. from 1997 to 2013. Mr. Johnston holds a bachelor's degree from Western University in Ontario, Canada and a Doctor of Jurisprudence from Samford University's Cumberland School of Law in Birmingham, Alabama.</w:t>
      </w:r>
    </w:p>
    <w:p>
      <w:pPr>
        <w:spacing w:after="0" w:line="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 xml:space="preserve">James J. Cleary </w:t>
      </w:r>
      <w:r>
        <w:rPr>
          <w:rFonts w:ascii="Arial" w:cs="Arial" w:eastAsia="Arial" w:hAnsi="Arial"/>
          <w:sz w:val="16"/>
          <w:szCs w:val="16"/>
          <w:color w:val="auto"/>
        </w:rPr>
        <w:t>has served as a director of the General Partner since June 2020. Mr. Cleary serves on the Compensation Committee and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and Nominating Committee of the General Partner. Mr. Cleary has served as a Managing Director of Global Infrastructure Partners, a leading private equity infrastructure fund with over $60 billion under management and a focus on the energy, transport and water/waste industries since 2012. Prior to that, from 1999 until its acquisition by Kinder Morgan in 2012, Mr. Cleary served in various leadership roles for El Paso Corporation, a Fortune 500 energy company, including service as the President of Western Pipelines and President of the ANR Pipeline Company. From 1979 until 1999, Mr. Cleary served in various capacities of increasing responsibility with Sonat Inc., a Fortune 500 energy company, including service as the Executive Vice President</w:t>
      </w:r>
    </w:p>
    <w:p>
      <w:pPr>
        <w:spacing w:after="0" w:line="4" w:lineRule="exact"/>
        <w:rPr>
          <w:sz w:val="20"/>
          <w:szCs w:val="20"/>
          <w:color w:val="auto"/>
        </w:rPr>
      </w:pPr>
    </w:p>
    <w:p>
      <w:pPr>
        <w:ind w:firstLine="8"/>
        <w:spacing w:after="0" w:line="253" w:lineRule="auto"/>
        <w:tabs>
          <w:tab w:leader="none" w:pos="1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General Counsel of Southern Natural Gas Company, which was Sonat’s pipeline business. In addition to his experience as an executive, Mr. Cleary has had significant experience in the boardroom, having served on the board of the general partner of Access Midstream Partners, L.P., a large midstream master limited partnership, and he currently serves on the board of directors of Gibson Energy, Inc., a Canadian public company that transports, stores, processes and markets crude oil and refined products in Canada and the United States. He has a B.A. in Sociology from the College of William &amp; Mary and a J.D. from Boston College Law School.</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Lee Jacobe </w:t>
      </w:r>
      <w:r>
        <w:rPr>
          <w:rFonts w:ascii="Arial" w:cs="Arial" w:eastAsia="Arial" w:hAnsi="Arial"/>
          <w:sz w:val="16"/>
          <w:szCs w:val="16"/>
          <w:color w:val="auto"/>
        </w:rPr>
        <w:t>has served as a director of the General Partner since April 2019. Additionally, Mr. Jacobe serves on the Audit Committee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of the General Partner. Mr. Jacobe currently serves as an advisor with respect to energy investments for Kelso &amp; Company, a New York based private equity firm. From 2008 through 2018, Mr. Jacobe was involved in various capacities at Barclays Investment Banking – Energy Group, including head of the firm’s midstream coverage effort, co-head of its US Oil &amp; Gas group, and Vice Chairman of the firm. From 1993 through 2008, Mr. Jacobe was an investment banker in the energy group at Lehman Brothers, including serving as a managing director from 2001–2008. Mr. Jacobe began his investment banking career at Wasserstein Perella &amp; Co. in 1990. He has a B.B.A., with a major in Finance, from the University of Texas at Austin. Mr. Jacobe has valuable and extensive experience in the energy banking sector, including a vast array of experience in corporate finance, capital structure, and the evaluation of financial risks associated with publicly traded partnerships that invest in midstream infrastructure.</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Robert J. McNally </w:t>
      </w:r>
      <w:r>
        <w:rPr>
          <w:rFonts w:ascii="Arial" w:cs="Arial" w:eastAsia="Arial" w:hAnsi="Arial"/>
          <w:sz w:val="17"/>
          <w:szCs w:val="17"/>
          <w:color w:val="auto"/>
        </w:rPr>
        <w:t>has served as a director of the General Partner since May 2020. Additionally, Mr. McNally serves on the Audit Committee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Mr. McNally also serves as a director of Oasis Petroleum, where he sits on the Audit &amp; Reserves Committee and the Compensation Committee. From 2018 through 2019, Mr. McNally served as President and Chief Executive Officer of EQT Corporation, an NYSE-listed independent natural gas producer with operations in Pennsylvania, West Virginia and Ohio. Prior to that, from 2016 to 2018, Mr. McNally served as Senior Vice President and Chief Financial Officer of EQT Corporation. From 2010 until 2016, Mr. McNally served as Executive Vice President and Chief Financial Officer of Precision Drilling Corporation, a TSE and NYSE-listed drilling contractor with operations primarily in the United States, Canada and the Middle East. From 2009 to 2010, and for a period in 2007, Mr. McNally served as an Investment Principal for Kenda Capital LLC. In 2008, Mr. McNally served as the Chief Executive Officer of Dalbo Holdings, Inc. In 2006, Mr. McNally served as Executive Vice President of Operations and Finance for Warrior Energy Services Corp. From 2000 to 2005, Mr. McNally worked in corporate finance with Simmons &amp; Company International. Mr. McNally began his career as an engineer with Schlumberger Limited and served in various capacities of increasing responsibility during his tenure from 1994 until 2000. In addition to his experience as an executive, Mr. McNally has had extensive experience in the boardroom, where he has served, at various times, on the boards of Warrior Energy Services, Dalbo Holdings, EQT Midstream Partners, EQT GP Holdings, Rice Midstream Partners and EQT Corporation. He has a B.S. in Mechanical Engineering from University of Illinois, a B.A. in Mathematics from Knox College, and an M.B.A. from Tulane University Freeman School of Business. Mr. McNally brings a wealth of executive management, operational, and financial experience in the oil and gas industry to the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Jerry L. Peters </w:t>
      </w:r>
      <w:r>
        <w:rPr>
          <w:rFonts w:ascii="Arial" w:cs="Arial" w:eastAsia="Arial" w:hAnsi="Arial"/>
          <w:sz w:val="17"/>
          <w:szCs w:val="17"/>
          <w:color w:val="auto"/>
        </w:rPr>
        <w:t>has served as a director of the General Partner since September 2012. Additionally, Mr. Peters served as the chair of the Conflicts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of the General Partner until November 2012 and serves as the chair and financial expert of the Audit Committee of the General Partner. Mr. Peters served as the Chief Financial Officer of Green Plains Inc., a publicly traded vertically integrated ethanol producer, from June 2007 until his retirement in September 2017. In 2015, Mr. Peters was appointed Chief Financial Officer and Director of the General Partner of Green Plains Partners LP, a publicly traded partnership engaged in fuel storage and transportation services. He retired from his role as Chief Financial Officer of the General Partner of Green Plains Partners LP in September 2017 but remains on the Board of Directors. Prior to joining Green Plains, Mr. Peters served as Senior Vice President—Chief Accounting Officer for ONEOK Partners, L.P. from May 2006 to April 2007, as Chief Financial Officer of ONEOK Partners, L.P. from July 1994 to May 2006, and in various senior management roles of ONEOK Partners, L.P. from 1985 to May 2006. Prior to joining ONEOK Partners, Mr. Peters was employed by KPMG LLP as a certified public accountant from 1980 to 1985. In October 2017, Mr. Peters joined the board of the general partner of USA Compression Partners LP and served as chair and financial expert of the audit committee thereof. Mr. Peters resigned from the board of the general partner of USA Compression Partners LP in March 2018. Mr. Peters received an MBA from Creighton University with an emphasis in finance and a B.S. in Business Administration from the University of Nebraska—Lincoln. Mr. Peters' extensive executive, financial and operational experience bring important and necessary skills to the Board of Directors.</w:t>
      </w:r>
    </w:p>
    <w:p>
      <w:pPr>
        <w:spacing w:after="0" w:line="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Robert M. Wohleber </w:t>
      </w:r>
      <w:r>
        <w:rPr>
          <w:rFonts w:ascii="Arial" w:cs="Arial" w:eastAsia="Arial" w:hAnsi="Arial"/>
          <w:sz w:val="18"/>
          <w:szCs w:val="18"/>
          <w:color w:val="auto"/>
        </w:rPr>
        <w:t>has served as a director of the General Partner since August 2013. Mr. Wohleber also serves as Chairperson of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General Partner. Mr. Wohleber served as Senior Vice President and Chief Financial Officer of Kerr-McGee Corporation, an oil and gas exploration and production company, from December 1999 to August 2006. From 1996 to 1998, he served as Senior Vice President and Chief Financial Officer of Freeport-McMoran, Inc., one of the largest phosphate fertilizer producers in the United States. He holds a B.B.A. from the University of Notre Dame and an M.B.A. from the University of Pittsburgh. Mr. Wohleber’s extensive executive and financial experience in the oil and gas industry bring important and necessary skills to the Board of Directors.</w:t>
      </w:r>
    </w:p>
    <w:p>
      <w:pPr>
        <w:spacing w:after="0" w:line="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Marguerite Woung-Chapman </w:t>
      </w:r>
      <w:r>
        <w:rPr>
          <w:rFonts w:ascii="Arial" w:cs="Arial" w:eastAsia="Arial" w:hAnsi="Arial"/>
          <w:sz w:val="17"/>
          <w:szCs w:val="17"/>
          <w:color w:val="auto"/>
        </w:rPr>
        <w:t>has served as a director of the General Partner since May 2020. Ms. Woung-Chapman also serves as the Chairperson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Governance &amp; Nominating Committee of the General Partner. In 2018, Ms. Woung-Chapman served as Senior Vice President, General Counsel and Corporate Secretary of Energy XXI Gulf Coast, Inc., a NASDAQ-listed independent exploration and production company that was engaged in the development, exploitation and acquisition of oil and natural gas properties in the U.S. Gulf Coast region. Prior to that, from 2012 to 2017, Ms. Woung-Chapman served in various capacities at EP Energy Corporation, a private company that subsequently became an NYSE-listed independent oil and gas exploration and production company, including, among others, Senior Vice President, Land Administration, General Counsel and Corporate Secretary. Ms. Woung-Chapman began her career as a corporate attorney with El Paso Corporation (including its predecessors) and served in various capacities of increasing responsibility during her tenure from 1991 until 2012, including, among others, Vice President, Legal Shared Services, Corporate Secretary and Chief Governance Officer. She has a B.S. in Linguistics from Georgetown University and a J.D. from the Georgetown University Law Center. Ms. Woung-Chapman also serves, since June 2020, as the Chair of the Board of Directors and President of the Girl Scouts of San Jacinto Council, which is the second largest Girl Scout council in the country. Ms. Woung-Chapman has valuable and extensive experience in all aspects of management and strategic direction of publicly-traded energy companies and brings a unique combination of corporate governance, regulatory, compliance, legal and business administration experience to the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Board of Directors has adopted a Code of Business Conduct and Ethics which sets forth the Partnership’s policy with respect to business ethics and conflicts of interest. The Code of Business Conduct and Ethics is intended to ensure that the employees, officers and directors of the Partnership and its General Partner conduct business with the highest standards of integrity and in compliance with all applicable laws and regulations. It applies to the employees, officers and directors of the Partnership and its General Partner, including the principal executive officer, principal financial officer and principal accounting officer or controller, or persons performing similar functions (the “Senior Financial Officers”). The Code of Business Conduct and Ethics also incorporates expectations of the Senior Financial Officers that enable the Partnership to provide accurate and timely disclosure in its filings with the SEC and other public communications. The Code of Business Conduct and Ethics is publicly available on the Partnership’s website under the “Corporate Governance” subsection of the “Investors” section at </w:t>
      </w:r>
      <w:r>
        <w:rPr>
          <w:rFonts w:ascii="Arial" w:cs="Arial" w:eastAsia="Arial" w:hAnsi="Arial"/>
          <w:sz w:val="17"/>
          <w:szCs w:val="17"/>
          <w:i w:val="1"/>
          <w:iCs w:val="1"/>
          <w:color w:val="auto"/>
        </w:rPr>
        <w:t>www.summitmidstream.com</w:t>
      </w:r>
      <w:r>
        <w:rPr>
          <w:rFonts w:ascii="Arial" w:cs="Arial" w:eastAsia="Arial" w:hAnsi="Arial"/>
          <w:sz w:val="17"/>
          <w:szCs w:val="17"/>
          <w:color w:val="auto"/>
        </w:rPr>
        <w:t xml:space="preserve"> and is also available free of charge on written request to the Secretary at the Houston office address given under the "Contact" section on the Partnership’s website.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Partnership’s Corporate Governance Guidelines, which are available on its website under the “Corporate Governance” subsection of the “Investors” section at </w:t>
      </w:r>
      <w:r>
        <w:rPr>
          <w:rFonts w:ascii="Arial" w:cs="Arial" w:eastAsia="Arial" w:hAnsi="Arial"/>
          <w:sz w:val="18"/>
          <w:szCs w:val="18"/>
          <w:i w:val="1"/>
          <w:iCs w:val="1"/>
          <w:color w:val="auto"/>
        </w:rPr>
        <w:t>www.summitmidstream.com</w:t>
      </w:r>
      <w:r>
        <w:rPr>
          <w:rFonts w:ascii="Arial" w:cs="Arial" w:eastAsia="Arial" w:hAnsi="Arial"/>
          <w:sz w:val="18"/>
          <w:szCs w:val="18"/>
          <w:color w:val="auto"/>
        </w:rPr>
        <w:t>, provide guidelines for the governance of the Partnership. The Corporate Governance Guidelines specifically provide, among other things, that (i) the independent members of the Board will select an independent director to serve as “Lead Director” to preside over any executive sessions at which the Chairman of the Board is not present, and (ii) interested parties may communicate directly with the General Partner’s independent directors by submitting an envelope marked “Confidential” addressed to the “Independent Members of the Board” in care of the Secretary of the General Partner.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16(a) of the Exchange Act requires SMLP’s directors and executive officers, and persons who own more than 10% of a registered class of the Partnership’s securities, to file with the SEC initial reports of ownership and reports of changes in ownership of SMLP's common units and other equity securities. Based on the Partnership’s records, it believes that all directors, executive officers and persons who own more than 10% of the Partnership’s common units have complied with the reporting requirements of Section 16(a) except for the following. On February 7, 2020, Energy Capital Partners II, LLC and Summit Midstream Partners, LLC filed delinquent Section 16(a) reports relating to the second amendment to that certain Contribution Agreement between SMP Holdings and the Partnership dated February 25, 2016, as amended, pursuant to which the Partnership issued 714,286 common units (as adjusted for the Reverse Unit Split) to SMP Holdings on November 15, 2019.</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This Compensation Discussion and Analysis (“CD&amp;A”) provides information regarding the compensation of certain of our executive officers as reported in the Summary Compensation Table and other tables in this document. In this CD&amp;A, we review the compensation decisions, and rationale for those decisions, relating to the person who served as our principal executive officer during the past fiscal year, the person who served as our principal financial officer during the past fiscal year, and the Partnership’s next most highly compensated executive officer. </w:t>
      </w:r>
      <w:r>
        <w:rPr>
          <w:rFonts w:ascii="Arial" w:cs="Arial" w:eastAsia="Arial" w:hAnsi="Arial"/>
          <w:sz w:val="14"/>
          <w:szCs w:val="14"/>
          <w:color w:val="auto"/>
        </w:rPr>
        <w:t>(1)</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describes the material components of the Partnership’s executive compensation program for the following individuals, who are referred to as the “Named Executive Officers” or “NEOs”:</w:t>
      </w:r>
    </w:p>
    <w:p>
      <w:pPr>
        <w:spacing w:after="0" w:line="62" w:lineRule="exact"/>
        <w:rPr>
          <w:sz w:val="20"/>
          <w:szCs w:val="20"/>
          <w:color w:val="auto"/>
        </w:rPr>
      </w:pPr>
    </w:p>
    <w:p>
      <w:pPr>
        <w:ind w:left="800" w:hanging="401"/>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Heath Deneke, President and Chief Executive Officer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Marc D. Stratton, Executive Vice President and Chief Financial Officer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James Johnston, Executive Vice President, General Counsel and Chief Compliance Officer</w:t>
      </w:r>
      <w:r>
        <w:rPr>
          <w:rFonts w:ascii="Arial" w:cs="Arial" w:eastAsia="Arial" w:hAnsi="Arial"/>
          <w:sz w:val="15"/>
          <w:szCs w:val="15"/>
          <w:color w:val="auto"/>
        </w:rPr>
        <w:t>(2)</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Leonard W. Mallett, Former Executive Vice President and Chief Operations Officer</w:t>
      </w:r>
      <w:r>
        <w:rPr>
          <w:rFonts w:ascii="Arial" w:cs="Arial" w:eastAsia="Arial" w:hAnsi="Arial"/>
          <w:sz w:val="15"/>
          <w:szCs w:val="15"/>
          <w:color w:val="auto"/>
        </w:rPr>
        <w:t>(3)</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Louise E. Matthews, Former Executive Vice President and Chief Administration Officer</w:t>
      </w:r>
      <w:r>
        <w:rPr>
          <w:rFonts w:ascii="Arial" w:cs="Arial" w:eastAsia="Arial" w:hAnsi="Arial"/>
          <w:sz w:val="15"/>
          <w:szCs w:val="15"/>
          <w:color w:val="auto"/>
        </w:rPr>
        <w:t>(4)</w:t>
      </w:r>
    </w:p>
    <w:p>
      <w:pPr>
        <w:spacing w:after="0" w:line="117" w:lineRule="exact"/>
        <w:rPr>
          <w:rFonts w:ascii="Arial" w:cs="Arial" w:eastAsia="Arial" w:hAnsi="Arial"/>
          <w:sz w:val="18"/>
          <w:szCs w:val="18"/>
          <w:color w:val="auto"/>
        </w:rPr>
      </w:pPr>
    </w:p>
    <w:p>
      <w:pPr>
        <w:ind w:left="1020" w:hanging="224"/>
        <w:spacing w:after="0"/>
        <w:tabs>
          <w:tab w:leader="none" w:pos="1020" w:val="left"/>
        </w:tabs>
        <w:numPr>
          <w:ilvl w:val="1"/>
          <w:numId w:val="98"/>
        </w:numPr>
        <w:rPr>
          <w:rFonts w:ascii="Arial" w:cs="Arial" w:eastAsia="Arial" w:hAnsi="Arial"/>
          <w:sz w:val="15"/>
          <w:szCs w:val="15"/>
          <w:color w:val="auto"/>
        </w:rPr>
      </w:pPr>
      <w:r>
        <w:rPr>
          <w:rFonts w:ascii="Arial" w:cs="Arial" w:eastAsia="Arial" w:hAnsi="Arial"/>
          <w:sz w:val="18"/>
          <w:szCs w:val="18"/>
          <w:color w:val="auto"/>
        </w:rPr>
        <w:t>Mr. Deneke, Mr. Stratton, and Mr. Johnston are the only executive officers of the General Partner.</w:t>
      </w:r>
    </w:p>
    <w:p>
      <w:pPr>
        <w:spacing w:after="0" w:line="117" w:lineRule="exact"/>
        <w:rPr>
          <w:rFonts w:ascii="Arial" w:cs="Arial" w:eastAsia="Arial" w:hAnsi="Arial"/>
          <w:sz w:val="15"/>
          <w:szCs w:val="15"/>
          <w:color w:val="auto"/>
        </w:rPr>
      </w:pPr>
    </w:p>
    <w:p>
      <w:pPr>
        <w:ind w:left="1040" w:hanging="226"/>
        <w:spacing w:after="0"/>
        <w:tabs>
          <w:tab w:leader="none" w:pos="1040" w:val="left"/>
        </w:tabs>
        <w:numPr>
          <w:ilvl w:val="2"/>
          <w:numId w:val="98"/>
        </w:numPr>
        <w:rPr>
          <w:rFonts w:ascii="Arial" w:cs="Arial" w:eastAsia="Arial" w:hAnsi="Arial"/>
          <w:sz w:val="14"/>
          <w:szCs w:val="14"/>
          <w:color w:val="auto"/>
        </w:rPr>
      </w:pPr>
      <w:r>
        <w:rPr>
          <w:rFonts w:ascii="Arial" w:cs="Arial" w:eastAsia="Arial" w:hAnsi="Arial"/>
          <w:sz w:val="17"/>
          <w:szCs w:val="17"/>
          <w:color w:val="auto"/>
        </w:rPr>
        <w:t>Mr. Johnston was appointed Executive Vice President, General Counsel and Chief Compliance Officer effective September 4, 2020.</w:t>
      </w:r>
    </w:p>
    <w:p>
      <w:pPr>
        <w:spacing w:after="0" w:line="129" w:lineRule="exact"/>
        <w:rPr>
          <w:sz w:val="20"/>
          <w:szCs w:val="20"/>
          <w:color w:val="auto"/>
        </w:rPr>
      </w:pPr>
    </w:p>
    <w:p>
      <w:pPr>
        <w:ind w:left="1020" w:hanging="224"/>
        <w:spacing w:after="0"/>
        <w:tabs>
          <w:tab w:leader="none" w:pos="1020" w:val="left"/>
        </w:tabs>
        <w:numPr>
          <w:ilvl w:val="0"/>
          <w:numId w:val="99"/>
        </w:numPr>
        <w:rPr>
          <w:rFonts w:ascii="Arial" w:cs="Arial" w:eastAsia="Arial" w:hAnsi="Arial"/>
          <w:sz w:val="15"/>
          <w:szCs w:val="15"/>
          <w:color w:val="auto"/>
        </w:rPr>
      </w:pPr>
      <w:r>
        <w:rPr>
          <w:rFonts w:ascii="Arial" w:cs="Arial" w:eastAsia="Arial" w:hAnsi="Arial"/>
          <w:sz w:val="18"/>
          <w:szCs w:val="18"/>
          <w:color w:val="auto"/>
        </w:rPr>
        <w:t>Mr. Mallett’s employment terminated effective October 31, 2020.</w:t>
      </w:r>
    </w:p>
    <w:p>
      <w:pPr>
        <w:spacing w:after="0" w:line="117" w:lineRule="exact"/>
        <w:rPr>
          <w:rFonts w:ascii="Arial" w:cs="Arial" w:eastAsia="Arial" w:hAnsi="Arial"/>
          <w:sz w:val="15"/>
          <w:szCs w:val="15"/>
          <w:color w:val="auto"/>
        </w:rPr>
      </w:pPr>
    </w:p>
    <w:p>
      <w:pPr>
        <w:ind w:left="1020" w:hanging="224"/>
        <w:spacing w:after="0"/>
        <w:tabs>
          <w:tab w:leader="none" w:pos="1020" w:val="left"/>
        </w:tabs>
        <w:numPr>
          <w:ilvl w:val="0"/>
          <w:numId w:val="99"/>
        </w:numPr>
        <w:rPr>
          <w:rFonts w:ascii="Arial" w:cs="Arial" w:eastAsia="Arial" w:hAnsi="Arial"/>
          <w:sz w:val="15"/>
          <w:szCs w:val="15"/>
          <w:color w:val="auto"/>
        </w:rPr>
      </w:pPr>
      <w:r>
        <w:rPr>
          <w:rFonts w:ascii="Arial" w:cs="Arial" w:eastAsia="Arial" w:hAnsi="Arial"/>
          <w:sz w:val="18"/>
          <w:szCs w:val="18"/>
          <w:color w:val="auto"/>
        </w:rPr>
        <w:t>Ms. Matthews’ employment terminated effective April 1, 2020.</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NEOs are employees of Summit Operating Services Company, LLC (“Summit Operating”), a wholly owned subsidiary of the Partnership, and executive officers of the General Partner. Prior to the GP Buy-In Transaction, certain of the NEOs split their working time between SMLP's business and their responsibilities for its then affiliate relationships. See Note 1 of the notes to our consolidated financial statements included in Item 8 of this report for further discussion of the GP Buy-In Transaction and the presentation of Partnership’s financial statements for periods prior to the GP Buy-In Transaction. All compensation amounts for the NEOs are reflected in the Partnership’s financial statements included in this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provides oversight, administers and makes decisions regarding the Partnership’s compensation policies and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seek to provide reasonable and competitive rewards to executives through compensation and benefit programs structured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Attract and retain outstanding talent</w:t>
      </w:r>
    </w:p>
    <w:p>
      <w:pPr>
        <w:spacing w:after="0" w:line="117" w:lineRule="exact"/>
        <w:rPr>
          <w:sz w:val="20"/>
          <w:szCs w:val="20"/>
          <w:color w:val="auto"/>
        </w:rPr>
      </w:pPr>
    </w:p>
    <w:p>
      <w:pPr>
        <w:ind w:left="800" w:hanging="401"/>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Drive achievement of short-term and long-term goals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Reward successful execution of objectives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Reinforce our culture and leadership competencies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Align executives with the interests of the our unitholders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employ a pay-for-performance philosophy when designing executive compensation opportunities. Thus, a portion of an executive’s target compensation is performance based through linkage to the achievement of financial and other measures deemed to be drivers in the creation of unitholder value. While the Compensation Committee does not set a specific target allocation among the elements of total direct compensation, a portion of the compensation opportunity available to each of our NEOs is, by design, tied to the Partnership’s annual and long-term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Compensation Committee establishes the target total direct compensation of our executives and administers other benefit programs. The Compensation Committee engages an independent compensation consultant (the “Compensation Consultant”) who provides the Compensation Committee with data, analysis and advice on the structure and level of executive compensation. The Compensation Consultant participates in Compensation Committee meetings and executive sessions of the Compensation Committee meetings as requested. The Compensation Consultant may work with our management on various matters for which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Compensation Committee is responsible. However, the Compensation Committee, not management, directs the activities of the Compensation Consultant. We consider the Compensation Consultant to be independent of the Partnership according to current NYSE listing requirements and SEC guidance. Willis Towers Watson serves as the Compensation Consultant.</w:t>
      </w:r>
    </w:p>
    <w:p>
      <w:pPr>
        <w:spacing w:after="0" w:line="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Partnership management, in consultation with the Compensation Committee chair and the Compensation Consultant, prepares materials for the Compensation Committee relevant to matters under consideration by the Compensation Committee, including market data provided by the Compensation Consultant and recommendations of our Chief Executive Officer (the "CEO") regarding compensation of the other executives. The Compensation Committee works directly with the Compensation Consultant to determine the compensation of our CEO, as required.</w:t>
      </w:r>
    </w:p>
    <w:p>
      <w:pPr>
        <w:spacing w:after="0" w:line="6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Based on market data which the we use as a reference, we believe compensation for our NEOs is reasonably competitive with opportunities available to officers holding similar positions at comparable midstream companies. We seek to set compensation levels for each component of total direct compensation based on our assessment of market practices at or near the median. The Compensation Committee adjusts target compensation for each NEO above or below the median, taking into consideration experience, performance, internal equity and other relevant circumstances.</w:t>
      </w:r>
    </w:p>
    <w:p>
      <w:pPr>
        <w:spacing w:after="0" w:line="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Compensation Committee’s annual review of executive compensation, the Compensation Consultant provided the Compensation Committee with an analysis of positions comparable to the NEOs at peer companies. To develop these exhibits, information from peer company public filings was compiled, including public company proxy statements and annual reports on Form 10-K. The peer group used for 2020 executive compensation consisted of publicly traded midstream companies with whom we compete for executive talent.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The peer group comprised the following companies:</w:t>
            </w:r>
          </w:p>
        </w:tc>
        <w:tc>
          <w:tcPr>
            <w:tcW w:w="6500" w:type="dxa"/>
            <w:vAlign w:val="bottom"/>
          </w:tcPr>
          <w:p>
            <w:pPr>
              <w:spacing w:after="0"/>
              <w:rPr>
                <w:sz w:val="20"/>
                <w:szCs w:val="20"/>
                <w:color w:val="auto"/>
              </w:rPr>
            </w:pPr>
          </w:p>
        </w:tc>
      </w:tr>
      <w:tr>
        <w:trPr>
          <w:trHeight w:val="108"/>
        </w:trPr>
        <w:tc>
          <w:tcPr>
            <w:tcW w:w="4740" w:type="dxa"/>
            <w:vAlign w:val="bottom"/>
          </w:tcPr>
          <w:p>
            <w:pPr>
              <w:spacing w:after="0"/>
              <w:rPr>
                <w:sz w:val="9"/>
                <w:szCs w:val="9"/>
                <w:color w:val="auto"/>
              </w:rPr>
            </w:pPr>
          </w:p>
        </w:tc>
        <w:tc>
          <w:tcPr>
            <w:tcW w:w="6500" w:type="dxa"/>
            <w:vAlign w:val="bottom"/>
          </w:tcPr>
          <w:p>
            <w:pPr>
              <w:spacing w:after="0"/>
              <w:rPr>
                <w:sz w:val="9"/>
                <w:szCs w:val="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Altus Midstream Company</w:t>
            </w:r>
          </w:p>
        </w:tc>
        <w:tc>
          <w:tcPr>
            <w:tcW w:w="65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Magellen Midstream Partners, L.P.</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Archrock, Inc.</w:t>
            </w:r>
          </w:p>
        </w:tc>
        <w:tc>
          <w:tcPr>
            <w:tcW w:w="6500" w:type="dxa"/>
            <w:vAlign w:val="bottom"/>
          </w:tcPr>
          <w:p>
            <w:pPr>
              <w:ind w:left="960"/>
              <w:spacing w:after="0"/>
              <w:rPr>
                <w:sz w:val="20"/>
                <w:szCs w:val="20"/>
                <w:color w:val="auto"/>
              </w:rPr>
            </w:pPr>
            <w:r>
              <w:rPr>
                <w:rFonts w:ascii="Arial" w:cs="Arial" w:eastAsia="Arial" w:hAnsi="Arial"/>
                <w:sz w:val="18"/>
                <w:szCs w:val="18"/>
                <w:color w:val="auto"/>
              </w:rPr>
              <w:t>NGL Energy Partners LP</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Crestwood Equity Partners, LP</w:t>
            </w:r>
          </w:p>
        </w:tc>
        <w:tc>
          <w:tcPr>
            <w:tcW w:w="65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NuStar Energy, LP</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DCP Midstream, LP</w:t>
            </w:r>
          </w:p>
        </w:tc>
        <w:tc>
          <w:tcPr>
            <w:tcW w:w="6500" w:type="dxa"/>
            <w:vAlign w:val="bottom"/>
          </w:tcPr>
          <w:p>
            <w:pPr>
              <w:ind w:left="960"/>
              <w:spacing w:after="0"/>
              <w:rPr>
                <w:sz w:val="20"/>
                <w:szCs w:val="20"/>
                <w:color w:val="auto"/>
              </w:rPr>
            </w:pPr>
            <w:r>
              <w:rPr>
                <w:rFonts w:ascii="Arial" w:cs="Arial" w:eastAsia="Arial" w:hAnsi="Arial"/>
                <w:sz w:val="18"/>
                <w:szCs w:val="18"/>
                <w:color w:val="auto"/>
              </w:rPr>
              <w:t>Targa Resources Corp</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Enable Midstream Partners, LP</w:t>
            </w:r>
          </w:p>
        </w:tc>
        <w:tc>
          <w:tcPr>
            <w:tcW w:w="65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Tidewater Midstream and Infrastructure Ltd.</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EnLink Midstream, LLC</w:t>
            </w:r>
          </w:p>
        </w:tc>
        <w:tc>
          <w:tcPr>
            <w:tcW w:w="6500" w:type="dxa"/>
            <w:vAlign w:val="bottom"/>
          </w:tcPr>
          <w:p>
            <w:pPr>
              <w:ind w:left="960"/>
              <w:spacing w:after="0"/>
              <w:rPr>
                <w:sz w:val="20"/>
                <w:szCs w:val="20"/>
                <w:color w:val="auto"/>
              </w:rPr>
            </w:pPr>
            <w:r>
              <w:rPr>
                <w:rFonts w:ascii="Arial" w:cs="Arial" w:eastAsia="Arial" w:hAnsi="Arial"/>
                <w:sz w:val="18"/>
                <w:szCs w:val="18"/>
                <w:color w:val="auto"/>
              </w:rPr>
              <w:t>USA Compression Partners, LP</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Equitrans Midstream Corporation</w:t>
            </w:r>
          </w:p>
        </w:tc>
        <w:tc>
          <w:tcPr>
            <w:tcW w:w="6500" w:type="dxa"/>
            <w:vAlign w:val="bottom"/>
            <w:shd w:val="clear" w:color="auto" w:fill="CFF0FC"/>
          </w:tcPr>
          <w:p>
            <w:pPr>
              <w:ind w:left="960"/>
              <w:spacing w:after="0"/>
              <w:rPr>
                <w:sz w:val="20"/>
                <w:szCs w:val="20"/>
                <w:color w:val="auto"/>
              </w:rPr>
            </w:pPr>
            <w:r>
              <w:rPr>
                <w:rFonts w:ascii="Arial" w:cs="Arial" w:eastAsia="Arial" w:hAnsi="Arial"/>
                <w:sz w:val="18"/>
                <w:szCs w:val="18"/>
                <w:color w:val="auto"/>
              </w:rPr>
              <w:t>USD Partners LP</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Genesis Energy, LP</w:t>
            </w:r>
          </w:p>
        </w:tc>
        <w:tc>
          <w:tcPr>
            <w:tcW w:w="6500" w:type="dxa"/>
            <w:vAlign w:val="bottom"/>
          </w:tcPr>
          <w:p>
            <w:pPr>
              <w:spacing w:after="0"/>
              <w:rPr>
                <w:sz w:val="20"/>
                <w:szCs w:val="20"/>
                <w:color w:val="auto"/>
              </w:rPr>
            </w:pPr>
          </w:p>
        </w:tc>
      </w:tr>
    </w:tbl>
    <w:p>
      <w:pPr>
        <w:spacing w:after="0" w:line="12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compensation analysis encompassed the primary components of total direct compensation, including annual base salary, annual short-term incentive and long-term incentive awards for the NEOs of these peer group companies. The Compensation Committee considered the information provided to ascertain whether the compensation of our NEOs is aligned with the its compensation philosophy and competitive with the compensation for executive officers of the peer group companies. The Compensation Committee reviewed the compensation analysis to confirm our compensation programs were supporting a competitive total compensation approach that emphasizes incentive-based compensation and appropriately rewards achievement of our objectives. For 2020, the target total direct compensation for the NEOs as set by the Compensation Committee is summarized below. Each element is further discussed in this CD&amp;A.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w w:val="91"/>
              </w:rPr>
              <w:t>Components of Executive Compensation</w:t>
            </w:r>
          </w:p>
        </w:tc>
        <w:tc>
          <w:tcPr>
            <w:tcW w:w="1220" w:type="dxa"/>
            <w:vAlign w:val="bottom"/>
          </w:tcPr>
          <w:p>
            <w:pPr>
              <w:spacing w:after="0"/>
              <w:rPr>
                <w:sz w:val="20"/>
                <w:szCs w:val="20"/>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2020 Target</w:t>
            </w: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2020 Target</w:t>
            </w: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Bonus: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2020 Target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LTIP Award: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2020 LTIP</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2020 Target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Target Award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Total Direct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Base Salary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Bonus Value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Heath Deneke</w:t>
            </w:r>
          </w:p>
        </w:tc>
        <w:tc>
          <w:tcPr>
            <w:tcW w:w="1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600,000</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150%</w:t>
            </w:r>
          </w:p>
        </w:tc>
        <w:tc>
          <w:tcPr>
            <w:tcW w:w="12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900,000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275%</w:t>
            </w:r>
          </w:p>
        </w:tc>
        <w:tc>
          <w:tcPr>
            <w:tcW w:w="1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1,650,000</w:t>
            </w:r>
          </w:p>
        </w:tc>
        <w:tc>
          <w:tcPr>
            <w:tcW w:w="1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3,150,000</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Marc D. Stratton</w:t>
            </w: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Executive Vice President and Chief</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color w:val="auto"/>
              </w:rPr>
              <w:t>350,000</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1240" w:type="dxa"/>
            <w:vAlign w:val="bottom"/>
            <w:vMerge w:val="restart"/>
          </w:tcPr>
          <w:p>
            <w:pPr>
              <w:jc w:val="right"/>
              <w:ind w:right="210"/>
              <w:spacing w:after="0"/>
              <w:rPr>
                <w:sz w:val="20"/>
                <w:szCs w:val="20"/>
                <w:color w:val="auto"/>
              </w:rPr>
            </w:pPr>
            <w:r>
              <w:rPr>
                <w:rFonts w:ascii="Arial" w:cs="Arial" w:eastAsia="Arial" w:hAnsi="Arial"/>
                <w:sz w:val="18"/>
                <w:szCs w:val="18"/>
                <w:color w:val="auto"/>
              </w:rPr>
              <w:t>350,000</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1"/>
              </w:rPr>
              <w:t>165%</w:t>
            </w: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color w:val="auto"/>
              </w:rPr>
              <w:t>577,500</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1,277,500</w:t>
            </w:r>
          </w:p>
        </w:tc>
        <w:tc>
          <w:tcPr>
            <w:tcW w:w="0" w:type="dxa"/>
            <w:vAlign w:val="bottom"/>
          </w:tcPr>
          <w:p>
            <w:pPr>
              <w:spacing w:after="0"/>
              <w:rPr>
                <w:sz w:val="1"/>
                <w:szCs w:val="1"/>
                <w:color w:val="auto"/>
              </w:rPr>
            </w:pPr>
          </w:p>
        </w:tc>
      </w:tr>
      <w:tr>
        <w:trPr>
          <w:trHeight w:val="122"/>
        </w:trPr>
        <w:tc>
          <w:tcPr>
            <w:tcW w:w="3240" w:type="dxa"/>
            <w:vAlign w:val="bottom"/>
            <w:vMerge w:val="restart"/>
          </w:tcPr>
          <w:p>
            <w:pPr>
              <w:spacing w:after="0"/>
              <w:rPr>
                <w:sz w:val="20"/>
                <w:szCs w:val="20"/>
                <w:color w:val="auto"/>
              </w:rPr>
            </w:pPr>
            <w:r>
              <w:rPr>
                <w:rFonts w:ascii="Arial" w:cs="Arial" w:eastAsia="Arial" w:hAnsi="Arial"/>
                <w:sz w:val="18"/>
                <w:szCs w:val="18"/>
                <w:color w:val="auto"/>
              </w:rPr>
              <w:t>Financial Officer</w:t>
            </w:r>
          </w:p>
        </w:tc>
        <w:tc>
          <w:tcPr>
            <w:tcW w:w="12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(1)</w:t>
            </w:r>
          </w:p>
        </w:tc>
        <w:tc>
          <w:tcPr>
            <w:tcW w:w="1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w w:val="90"/>
              </w:rPr>
              <w:t>Executive Vice President, General Counsel</w:t>
            </w:r>
          </w:p>
        </w:tc>
        <w:tc>
          <w:tcPr>
            <w:tcW w:w="142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rPr>
              <w:t>350,000</w:t>
            </w:r>
          </w:p>
        </w:tc>
        <w:tc>
          <w:tcPr>
            <w:tcW w:w="1280" w:type="dxa"/>
            <w:vAlign w:val="bottom"/>
            <w:vMerge w:val="restart"/>
            <w:shd w:val="clear" w:color="auto" w:fill="CFF0FC"/>
          </w:tcPr>
          <w:p>
            <w:pPr>
              <w:jc w:val="right"/>
              <w:ind w:right="370"/>
              <w:spacing w:after="0"/>
              <w:rPr>
                <w:sz w:val="20"/>
                <w:szCs w:val="20"/>
                <w:color w:val="auto"/>
              </w:rPr>
            </w:pPr>
            <w:r>
              <w:rPr>
                <w:rFonts w:ascii="Arial" w:cs="Arial" w:eastAsia="Arial" w:hAnsi="Arial"/>
                <w:sz w:val="18"/>
                <w:szCs w:val="18"/>
                <w:color w:val="auto"/>
              </w:rPr>
              <w:t>100%</w:t>
            </w:r>
          </w:p>
        </w:tc>
        <w:tc>
          <w:tcPr>
            <w:tcW w:w="142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rPr>
              <w:t>350,000</w:t>
            </w:r>
          </w:p>
        </w:tc>
        <w:tc>
          <w:tcPr>
            <w:tcW w:w="1280" w:type="dxa"/>
            <w:vAlign w:val="bottom"/>
            <w:vMerge w:val="restart"/>
            <w:shd w:val="clear" w:color="auto" w:fill="CFF0FC"/>
          </w:tcPr>
          <w:p>
            <w:pPr>
              <w:jc w:val="right"/>
              <w:ind w:right="370"/>
              <w:spacing w:after="0"/>
              <w:rPr>
                <w:sz w:val="20"/>
                <w:szCs w:val="20"/>
                <w:color w:val="auto"/>
              </w:rPr>
            </w:pPr>
            <w:r>
              <w:rPr>
                <w:rFonts w:ascii="Arial" w:cs="Arial" w:eastAsia="Arial" w:hAnsi="Arial"/>
                <w:sz w:val="18"/>
                <w:szCs w:val="18"/>
                <w:color w:val="auto"/>
              </w:rPr>
              <w:t>165%</w:t>
            </w:r>
          </w:p>
        </w:tc>
        <w:tc>
          <w:tcPr>
            <w:tcW w:w="138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rPr>
              <w:t>577,500</w:t>
            </w:r>
          </w:p>
        </w:tc>
        <w:tc>
          <w:tcPr>
            <w:tcW w:w="134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1,277,500</w:t>
            </w:r>
          </w:p>
        </w:tc>
        <w:tc>
          <w:tcPr>
            <w:tcW w:w="0" w:type="dxa"/>
            <w:vAlign w:val="bottom"/>
          </w:tcPr>
          <w:p>
            <w:pPr>
              <w:spacing w:after="0"/>
              <w:rPr>
                <w:sz w:val="1"/>
                <w:szCs w:val="1"/>
                <w:color w:val="auto"/>
              </w:rPr>
            </w:pPr>
          </w:p>
        </w:tc>
      </w:tr>
      <w:tr>
        <w:trPr>
          <w:trHeight w:val="122"/>
        </w:trPr>
        <w:tc>
          <w:tcPr>
            <w:tcW w:w="3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and Chief Compliance Officer</w:t>
            </w:r>
          </w:p>
        </w:tc>
        <w:tc>
          <w:tcPr>
            <w:tcW w:w="1420" w:type="dxa"/>
            <w:vAlign w:val="bottom"/>
            <w:vMerge w:val="continue"/>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(2)</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Former Executive Vice President and</w:t>
            </w: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color w:val="auto"/>
              </w:rPr>
              <w:t>400,000</w:t>
            </w: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color w:val="auto"/>
              </w:rPr>
              <w:t>100%</w:t>
            </w: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color w:val="auto"/>
              </w:rPr>
              <w:t>400,000</w:t>
            </w:r>
          </w:p>
        </w:tc>
        <w:tc>
          <w:tcPr>
            <w:tcW w:w="1280" w:type="dxa"/>
            <w:vAlign w:val="bottom"/>
            <w:vMerge w:val="restart"/>
          </w:tcPr>
          <w:p>
            <w:pPr>
              <w:jc w:val="right"/>
              <w:ind w:right="370"/>
              <w:spacing w:after="0"/>
              <w:rPr>
                <w:sz w:val="20"/>
                <w:szCs w:val="20"/>
                <w:color w:val="auto"/>
              </w:rPr>
            </w:pPr>
            <w:r>
              <w:rPr>
                <w:rFonts w:ascii="Arial" w:cs="Arial" w:eastAsia="Arial" w:hAnsi="Arial"/>
                <w:sz w:val="18"/>
                <w:szCs w:val="18"/>
                <w:color w:val="auto"/>
              </w:rPr>
              <w:t>165%</w:t>
            </w: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color w:val="auto"/>
              </w:rPr>
              <w:t>660,000</w:t>
            </w: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rPr>
              <w:t>1,460,000</w:t>
            </w:r>
          </w:p>
        </w:tc>
        <w:tc>
          <w:tcPr>
            <w:tcW w:w="0" w:type="dxa"/>
            <w:vAlign w:val="bottom"/>
          </w:tcPr>
          <w:p>
            <w:pPr>
              <w:spacing w:after="0"/>
              <w:rPr>
                <w:sz w:val="1"/>
                <w:szCs w:val="1"/>
                <w:color w:val="auto"/>
              </w:rPr>
            </w:pPr>
          </w:p>
        </w:tc>
      </w:tr>
      <w:tr>
        <w:trPr>
          <w:trHeight w:val="122"/>
        </w:trPr>
        <w:tc>
          <w:tcPr>
            <w:tcW w:w="3120" w:type="dxa"/>
            <w:vAlign w:val="bottom"/>
            <w:vMerge w:val="restart"/>
          </w:tcPr>
          <w:p>
            <w:pPr>
              <w:spacing w:after="0"/>
              <w:rPr>
                <w:sz w:val="20"/>
                <w:szCs w:val="20"/>
                <w:color w:val="auto"/>
              </w:rPr>
            </w:pPr>
            <w:r>
              <w:rPr>
                <w:rFonts w:ascii="Arial" w:cs="Arial" w:eastAsia="Arial" w:hAnsi="Arial"/>
                <w:sz w:val="18"/>
                <w:szCs w:val="18"/>
                <w:color w:val="auto"/>
              </w:rPr>
              <w:t>Chief Operations Officer</w:t>
            </w: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(3)</w:t>
            </w:r>
          </w:p>
        </w:tc>
        <w:tc>
          <w:tcPr>
            <w:tcW w:w="1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Former Executive Vice President and</w:t>
            </w:r>
          </w:p>
        </w:tc>
        <w:tc>
          <w:tcPr>
            <w:tcW w:w="142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rPr>
              <w:t>300,000</w:t>
            </w:r>
          </w:p>
        </w:tc>
        <w:tc>
          <w:tcPr>
            <w:tcW w:w="1280" w:type="dxa"/>
            <w:vAlign w:val="bottom"/>
            <w:vMerge w:val="restart"/>
            <w:shd w:val="clear" w:color="auto" w:fill="CFF0FC"/>
          </w:tcPr>
          <w:p>
            <w:pPr>
              <w:jc w:val="right"/>
              <w:ind w:right="370"/>
              <w:spacing w:after="0"/>
              <w:rPr>
                <w:sz w:val="20"/>
                <w:szCs w:val="20"/>
                <w:color w:val="auto"/>
              </w:rPr>
            </w:pPr>
            <w:r>
              <w:rPr>
                <w:rFonts w:ascii="Arial" w:cs="Arial" w:eastAsia="Arial" w:hAnsi="Arial"/>
                <w:sz w:val="18"/>
                <w:szCs w:val="18"/>
                <w:color w:val="auto"/>
              </w:rPr>
              <w:t>100%</w:t>
            </w:r>
          </w:p>
        </w:tc>
        <w:tc>
          <w:tcPr>
            <w:tcW w:w="142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rPr>
              <w:t>300,000</w:t>
            </w:r>
          </w:p>
        </w:tc>
        <w:tc>
          <w:tcPr>
            <w:tcW w:w="1280" w:type="dxa"/>
            <w:vAlign w:val="bottom"/>
            <w:vMerge w:val="restart"/>
            <w:shd w:val="clear" w:color="auto" w:fill="CFF0FC"/>
          </w:tcPr>
          <w:p>
            <w:pPr>
              <w:jc w:val="right"/>
              <w:ind w:right="370"/>
              <w:spacing w:after="0"/>
              <w:rPr>
                <w:sz w:val="20"/>
                <w:szCs w:val="20"/>
                <w:color w:val="auto"/>
              </w:rPr>
            </w:pPr>
            <w:r>
              <w:rPr>
                <w:rFonts w:ascii="Arial" w:cs="Arial" w:eastAsia="Arial" w:hAnsi="Arial"/>
                <w:sz w:val="18"/>
                <w:szCs w:val="18"/>
                <w:color w:val="auto"/>
              </w:rPr>
              <w:t>150%</w:t>
            </w:r>
          </w:p>
        </w:tc>
        <w:tc>
          <w:tcPr>
            <w:tcW w:w="138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rPr>
              <w:t>450,000</w:t>
            </w:r>
          </w:p>
        </w:tc>
        <w:tc>
          <w:tcPr>
            <w:tcW w:w="134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122"/>
        </w:trPr>
        <w:tc>
          <w:tcPr>
            <w:tcW w:w="3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Chief Administration Officer</w:t>
            </w:r>
          </w:p>
        </w:tc>
        <w:tc>
          <w:tcPr>
            <w:tcW w:w="1420" w:type="dxa"/>
            <w:vAlign w:val="bottom"/>
            <w:vMerge w:val="continue"/>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0" w:right="20" w:hanging="392"/>
        <w:spacing w:after="0" w:line="273" w:lineRule="auto"/>
        <w:tabs>
          <w:tab w:leader="none" w:pos="4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James Johnston was appointed Executive Vice President, General Counsel and Chief Compliance Officer effective September 4, 2020; his target total direct compensation was approved by the Compensation Committee. Although Mr. Johnston's target annual bonus set forth in his employment agreement is 100% of his base salary, his employment agreement further provides that his 2020 bonus shall be prorated for the period of time he actually served as Executive Vice President, General Counsel and Chief Compliance Officer.</w:t>
      </w:r>
    </w:p>
    <w:p>
      <w:pPr>
        <w:spacing w:after="0" w:line="80" w:lineRule="exact"/>
        <w:rPr>
          <w:rFonts w:ascii="Arial" w:cs="Arial" w:eastAsia="Arial" w:hAnsi="Arial"/>
          <w:sz w:val="16"/>
          <w:szCs w:val="16"/>
          <w:color w:val="auto"/>
        </w:rPr>
      </w:pPr>
    </w:p>
    <w:p>
      <w:pPr>
        <w:ind w:left="400" w:hanging="392"/>
        <w:spacing w:after="0"/>
        <w:tabs>
          <w:tab w:leader="none" w:pos="4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Mr. Mallett’s employment terminated effective October 31, 2020.</w:t>
      </w:r>
    </w:p>
    <w:p>
      <w:pPr>
        <w:spacing w:after="0" w:line="126" w:lineRule="exact"/>
        <w:rPr>
          <w:rFonts w:ascii="Arial" w:cs="Arial" w:eastAsia="Arial" w:hAnsi="Arial"/>
          <w:sz w:val="16"/>
          <w:szCs w:val="16"/>
          <w:color w:val="auto"/>
        </w:rPr>
      </w:pPr>
    </w:p>
    <w:p>
      <w:pPr>
        <w:ind w:left="400" w:hanging="392"/>
        <w:spacing w:after="0"/>
        <w:tabs>
          <w:tab w:leader="none" w:pos="4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Ms. Matthews’ employment terminated effective April 1, 2020.</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elements of compensation for the NEOs are base salary, annual incentive compensation and long-term equity-based compensation awards. The NEOs also receive certain retirement, health and welfare and additional benefits.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base salaries for our NEOs are reviewed annually by the Compensation Committee. Base salaries our NEOs have generally been set at levels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necessary to attract and retain individuals with superior talent.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The base salaries of our NEOs are set forth in the following table:</w:t>
            </w:r>
          </w:p>
        </w:tc>
        <w:tc>
          <w:tcPr>
            <w:tcW w:w="220" w:type="dxa"/>
            <w:vAlign w:val="bottom"/>
          </w:tcPr>
          <w:p>
            <w:pPr>
              <w:spacing w:after="0"/>
              <w:rPr>
                <w:sz w:val="20"/>
                <w:szCs w:val="20"/>
                <w:color w:val="auto"/>
              </w:rPr>
            </w:pP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2020 Base Salary</w:t>
            </w:r>
          </w:p>
        </w:tc>
        <w:tc>
          <w:tcPr>
            <w:tcW w:w="0" w:type="dxa"/>
            <w:vAlign w:val="bottom"/>
          </w:tcPr>
          <w:p>
            <w:pPr>
              <w:spacing w:after="0"/>
              <w:rPr>
                <w:sz w:val="1"/>
                <w:szCs w:val="1"/>
                <w:color w:val="auto"/>
              </w:rPr>
            </w:pPr>
          </w:p>
        </w:tc>
      </w:tr>
      <w:tr>
        <w:trPr>
          <w:trHeight w:val="211"/>
        </w:trPr>
        <w:tc>
          <w:tcPr>
            <w:tcW w:w="9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9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2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9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Marc D. Stratton</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9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Former Executive Vice President and Chief Operations Officer</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Former Executive Vice President and Chief Administration Officer</w:t>
            </w:r>
          </w:p>
        </w:tc>
        <w:tc>
          <w:tcPr>
            <w:tcW w:w="19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92"/>
        <w:spacing w:after="0"/>
        <w:tabs>
          <w:tab w:leader="none" w:pos="4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James Johnston was appointed Executive Vice President, General Counsel and Chief Compliance Officer effective September 4, 2020.</w:t>
      </w:r>
    </w:p>
    <w:p>
      <w:pPr>
        <w:spacing w:after="0" w:line="95" w:lineRule="exact"/>
        <w:rPr>
          <w:rFonts w:ascii="Arial" w:cs="Arial" w:eastAsia="Arial" w:hAnsi="Arial"/>
          <w:sz w:val="14"/>
          <w:szCs w:val="14"/>
          <w:color w:val="auto"/>
        </w:rPr>
      </w:pPr>
    </w:p>
    <w:p>
      <w:pPr>
        <w:ind w:left="400" w:hanging="392"/>
        <w:spacing w:after="0"/>
        <w:tabs>
          <w:tab w:leader="none" w:pos="4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Mr. Mallett’s employment terminated effective October 31, 2020.</w:t>
      </w:r>
    </w:p>
    <w:p>
      <w:pPr>
        <w:spacing w:after="0" w:line="95" w:lineRule="exact"/>
        <w:rPr>
          <w:rFonts w:ascii="Arial" w:cs="Arial" w:eastAsia="Arial" w:hAnsi="Arial"/>
          <w:sz w:val="14"/>
          <w:szCs w:val="14"/>
          <w:color w:val="auto"/>
        </w:rPr>
      </w:pPr>
    </w:p>
    <w:p>
      <w:pPr>
        <w:ind w:left="400" w:hanging="392"/>
        <w:spacing w:after="0"/>
        <w:tabs>
          <w:tab w:leader="none" w:pos="4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Ms. Matthews’ employment terminated effective April 1, 2020.</w:t>
      </w:r>
    </w:p>
    <w:p>
      <w:pPr>
        <w:spacing w:after="0" w:line="10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Annual Incentive Compensation. </w:t>
      </w:r>
      <w:r>
        <w:rPr>
          <w:rFonts w:ascii="Arial" w:cs="Arial" w:eastAsia="Arial" w:hAnsi="Arial"/>
          <w:sz w:val="18"/>
          <w:szCs w:val="18"/>
          <w:color w:val="auto"/>
        </w:rPr>
        <w:t>We provide an annual incentive bonus (“annual bonus”) to drive the achievement of key business results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NEOs based on their contributions to those results. The annual bonus plan is a cash-based incentive plan. Incentive amounts are intended to provide total cash compensation near the market range for executive officers in comparable positions when target performance is achieved. Annual bonus compensation levels are set above or below the market range to reflect actual performance results as appropriate when performance is greater or less than expectations. Annual bonus payouts may range from 0% to 200% of the target opportunity and may be adjusted at the discretion of the Compensation Committee.</w:t>
      </w:r>
    </w:p>
    <w:p>
      <w:pPr>
        <w:spacing w:after="0" w:line="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March 2020, the Compensation Committee established the 2020 annual bonus plan target opportunities as a percentage of base salary for our NEOs other than Mr. Johnston. The 2020 target for Mr. Deneke was 150%. For Messrs. Stratton and Mallett and for Ms. Matthews it was 100% of their base salaries. In August 2020, the Compensation Committee approved Mr. Johnston’s annual bonus plan target opportunity as 100% of his base salary. Although Mr. Johnston's target annual bonus set forth in his employment agreement is 100% of his base salary, his employment agreement further provides that his 2020 bonus shall be prorated for the period of time he actually served as Executive Vice President, General Counsel and Chief Compliance Officer.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27"/>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 Target</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Annual Bonus:</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 Base</w:t>
            </w:r>
          </w:p>
        </w:tc>
      </w:tr>
      <w:tr>
        <w:trPr>
          <w:trHeight w:val="230"/>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w:t>
            </w:r>
          </w:p>
        </w:tc>
      </w:tr>
      <w:tr>
        <w:trPr>
          <w:trHeight w:val="222"/>
        </w:trPr>
        <w:tc>
          <w:tcPr>
            <w:tcW w:w="8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18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150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Marc D. Stratton</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100</w:t>
            </w: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100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Former Executive Vice President and Chief Operations Officer</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100</w:t>
            </w: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Former Executive Vice President and Chief Administration Officer</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6"/>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465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pacing w:after="0" w:line="69" w:lineRule="exact"/>
        <w:rPr>
          <w:sz w:val="20"/>
          <w:szCs w:val="20"/>
          <w:color w:val="auto"/>
        </w:rPr>
      </w:pPr>
    </w:p>
    <w:p>
      <w:pPr>
        <w:ind w:left="820" w:hanging="812"/>
        <w:spacing w:after="0"/>
        <w:tabs>
          <w:tab w:leader="none" w:pos="8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James Johnston was appointed Executive Vice President, General Counsel and Chief Compliance Officer effective September 4, 2020.</w:t>
      </w:r>
    </w:p>
    <w:p>
      <w:pPr>
        <w:spacing w:after="0" w:line="95" w:lineRule="exact"/>
        <w:rPr>
          <w:rFonts w:ascii="Arial" w:cs="Arial" w:eastAsia="Arial" w:hAnsi="Arial"/>
          <w:sz w:val="14"/>
          <w:szCs w:val="14"/>
          <w:color w:val="auto"/>
        </w:rPr>
      </w:pPr>
    </w:p>
    <w:p>
      <w:pPr>
        <w:ind w:left="820" w:hanging="812"/>
        <w:spacing w:after="0"/>
        <w:tabs>
          <w:tab w:leader="none" w:pos="8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Mr. Mallett’s employment terminated effective October 31, 2020.</w:t>
      </w:r>
    </w:p>
    <w:p>
      <w:pPr>
        <w:spacing w:after="0" w:line="95" w:lineRule="exact"/>
        <w:rPr>
          <w:rFonts w:ascii="Arial" w:cs="Arial" w:eastAsia="Arial" w:hAnsi="Arial"/>
          <w:sz w:val="14"/>
          <w:szCs w:val="14"/>
          <w:color w:val="auto"/>
        </w:rPr>
      </w:pPr>
    </w:p>
    <w:p>
      <w:pPr>
        <w:ind w:left="860" w:hanging="852"/>
        <w:spacing w:after="0"/>
        <w:tabs>
          <w:tab w:leader="none" w:pos="8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Ms. Matthews’ employment terminated effective April 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220"/>
        <w:spacing w:after="0" w:line="266" w:lineRule="auto"/>
        <w:rPr>
          <w:sz w:val="20"/>
          <w:szCs w:val="20"/>
          <w:color w:val="auto"/>
        </w:rPr>
      </w:pPr>
      <w:r>
        <w:rPr>
          <w:rFonts w:ascii="Arial" w:cs="Arial" w:eastAsia="Arial" w:hAnsi="Arial"/>
          <w:sz w:val="18"/>
          <w:szCs w:val="18"/>
          <w:b w:val="1"/>
          <w:bCs w:val="1"/>
          <w:color w:val="auto"/>
        </w:rPr>
        <w:t>2020 Target Annual Bonus Value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900,000</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350,000</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350,000</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400,000</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300,000</w:t>
      </w:r>
    </w:p>
    <w:p>
      <w:pPr>
        <w:spacing w:after="0" w:line="886" w:lineRule="exact"/>
        <w:rPr>
          <w:sz w:val="20"/>
          <w:szCs w:val="20"/>
          <w:color w:val="auto"/>
        </w:rPr>
      </w:pPr>
    </w:p>
    <w:p>
      <w:pPr>
        <w:sectPr>
          <w:pgSz w:w="11900" w:h="16838" w:orient="portrait"/>
          <w:cols w:equalWidth="0" w:num="2">
            <w:col w:w="9620" w:space="280"/>
            <w:col w:w="1320"/>
          </w:cols>
          <w:pgMar w:left="320" w:top="247" w:right="359" w:bottom="1440" w:gutter="0" w:footer="0" w:header="0"/>
        </w:sectPr>
      </w:pPr>
    </w:p>
    <w:p>
      <w:pPr>
        <w:ind w:right="120"/>
        <w:spacing w:after="0" w:line="301" w:lineRule="auto"/>
        <w:rPr>
          <w:sz w:val="20"/>
          <w:szCs w:val="20"/>
          <w:color w:val="auto"/>
        </w:rPr>
      </w:pPr>
      <w:r>
        <w:rPr>
          <w:rFonts w:ascii="Arial" w:cs="Arial" w:eastAsia="Arial" w:hAnsi="Arial"/>
          <w:sz w:val="16"/>
          <w:szCs w:val="16"/>
          <w:color w:val="auto"/>
        </w:rPr>
        <w:t>In 2020, quantitative factors, as reflected in the corporate scorecard applicable to the senior leadership team (the "SLT Scorecard") set the baseline for the annual bonuses for our NEOs, which were subject to further adjustments as explained below. The SLT Scorecard contained four factors, which are considered by the Board of Directors and management as key indicators of the successful execution of our business plan. Those factors were (i) adjusted EBITDA, (ii) distributable cash flow per unit, (iii) controllable expense metric and (iv) health, safety, environmental and regulatory goals.</w:t>
      </w:r>
    </w:p>
    <w:p>
      <w:pPr>
        <w:spacing w:after="0" w:line="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annual bonuses paid to Messrs. Deneke, Stratton and Johnston were approved by the Board and determined in accordance with their employment agreements, as further described below.</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2021, the Compensation Committee and the Board of Directors reviewed the SLT Scorecards for 2020 and determined the level of achievement of each key factor. We exceeded our health, safety, environmental and regulatory goals and met our (i) controllable expense metric and (ii) distributable cash flow per unit targets. We did not meet our adjusted EBITDA target. These results yielded a calculated SLT Scorecard result of 52% of target. In addition to corporate results, additional considerations are applied at the discretion of the CEO, the Compensation Committee and the Board of Directors that may affect the actual annual bonus earned. Those considerations include judgments regarding overall company performance and business events, performance of each NEO’s respective business unit, industry climate and performance, the market for executive talent, demonstrated leadership capabilities and progress on strategic initiatives. Each NEO’s bonus amount, as reflected below, is adjusted up or down in recognition of these additional considerations.</w:t>
      </w:r>
    </w:p>
    <w:p>
      <w:pPr>
        <w:spacing w:after="0" w:line="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Deneke’s annual bonus payout reflects his demonstrated leadership capabilities. Mr. Deneke was awarded 75% of his target annual bonus in 2020, or $675,000.</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Stratton’s annual bonus payout reflects consideration for the combined performance of the finance and accounting business units. Mr. Stratton was awarded 75% of his target annual bonus in 2020, or $262,500.</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Mr. Johnston’s annual bonus payout reflects consideration for the combined performance of the legal, human resources and health, safety, environmental and regulatory units. Mr. Johnston was awarded 75% of his target annual bonus in 2020, or $87,500, prorated for the period of time he served as Executive Vice President, General Counsel and Chief Compliance Officer.</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connection with their terminations, Mr. Mallett and Ms. Matthews received prorated annual bonuses for 2020 pursuant to the terms of their employment agreements. Mr. Mallett received a prorated annual bonus of $158,333 and Ms. Matthews received a prorated annual bonus equal to $74,795.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discussion, the annual bonus awards to be paid in March 2021 to our NEOs for 2020 performance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 Annual Bonus</w:t>
            </w:r>
          </w:p>
        </w:tc>
      </w:tr>
      <w:tr>
        <w:trPr>
          <w:trHeight w:val="234"/>
        </w:trPr>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22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Payout ($)</w:t>
            </w: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Heath Deneke</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9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675,000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Marc D. Stratton</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262,500</w:t>
            </w:r>
          </w:p>
        </w:tc>
      </w:tr>
      <w:tr>
        <w:trPr>
          <w:trHeight w:val="229"/>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James Johnston</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9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0"/>
              </w:rPr>
              <w:t>87,500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Former Executive Vice President and Chief Operations Officer</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158,333</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Former Executive Vice President and Chief Administration Officer</w:t>
            </w:r>
          </w:p>
        </w:tc>
        <w:tc>
          <w:tcPr>
            <w:tcW w:w="190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0"/>
              </w:rPr>
              <w:t>74,795</w:t>
            </w:r>
          </w:p>
        </w:tc>
      </w:tr>
    </w:tbl>
    <w:p>
      <w:pPr>
        <w:spacing w:after="0" w:line="89" w:lineRule="exact"/>
        <w:rPr>
          <w:sz w:val="20"/>
          <w:szCs w:val="20"/>
          <w:color w:val="auto"/>
        </w:rPr>
      </w:pPr>
    </w:p>
    <w:p>
      <w:pPr>
        <w:ind w:right="140" w:firstLine="8"/>
        <w:spacing w:after="0" w:line="253" w:lineRule="auto"/>
        <w:tabs>
          <w:tab w:leader="none" w:pos="2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amounts reflected are prorated annual bonuses paid to Mr. Mallett and Ms. Matthews upon their terminations in accordance with their employment agreements. Mr. Mallett employment terminated on October 31, 2020. Ms. Matthews employment terminated on April 1, 2020.</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Long-Term Equity-Based Compensation Awards. </w:t>
      </w:r>
      <w:r>
        <w:rPr>
          <w:rFonts w:ascii="Arial" w:cs="Arial" w:eastAsia="Arial" w:hAnsi="Arial"/>
          <w:sz w:val="18"/>
          <w:szCs w:val="18"/>
          <w:color w:val="auto"/>
        </w:rPr>
        <w:t>The General Partner approved the SMLP LTIP pursuant to which eligible officers (including the NEOs),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consultants and directors of the General Partner and its affiliates are eligible to receive awards with respect to our equity interests, thereby linking the recipients’ compensation directly to the value of our common units and enhancing our ability to attract and retain superior talent. The SMLP LTIP provides for the grant, from time to time at the discretion of the Board of Directors or Compensation Committee, of a dollar-denominated award, unit awards, restricted units, phantom units, unit options, unit appreciation rights, distribution equivalent rights, profits interest units and other unit-based awards.</w:t>
      </w:r>
    </w:p>
    <w:p>
      <w:pPr>
        <w:spacing w:after="0" w:line="8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SMLP LTIP is designed to promote our interests, as well as the interests of our unitholders, by aligning the interests of our eligible employees (including the NEOs) and directors with those of common unitholders, as well as by strengthening our ability to attract, retain and motivate qualified individuals to serve as directors and employees.</w:t>
      </w:r>
    </w:p>
    <w:p>
      <w:pPr>
        <w:spacing w:after="0" w:line="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SMLP LTIP award guidelines for NEOs are designed to attract, retain and motivate the NEOs and were determined using the Compensation Consultant's analysis for individuals in comparable positions and an analysis of the scope of their roles and duties. These guidelines set an annual equity award target in the amount of 275% of salary for Mr. Deneke; 165% for Messrs. Stratton, Johnston and Mallett; 150% of base salary for Ms. Matthews.</w:t>
      </w:r>
    </w:p>
    <w:p>
      <w:pPr>
        <w:spacing w:after="0" w:line="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Although LTIP is usually granted once per fiscal year (during the quarterly period ended March 31</w:t>
      </w:r>
      <w:r>
        <w:rPr>
          <w:rFonts w:ascii="Arial" w:cs="Arial" w:eastAsia="Arial" w:hAnsi="Arial"/>
          <w:sz w:val="15"/>
          <w:szCs w:val="15"/>
          <w:color w:val="auto"/>
        </w:rPr>
        <w:t>st</w:t>
      </w:r>
      <w:r>
        <w:rPr>
          <w:rFonts w:ascii="Arial" w:cs="Arial" w:eastAsia="Arial" w:hAnsi="Arial"/>
          <w:sz w:val="18"/>
          <w:szCs w:val="18"/>
          <w:color w:val="auto"/>
        </w:rPr>
        <w:t>), in 2020 there were two separate equity grants, described below:</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March 2020 Equity Grants</w:t>
      </w:r>
      <w:r>
        <w:rPr>
          <w:rFonts w:ascii="Arial" w:cs="Arial" w:eastAsia="Arial" w:hAnsi="Arial"/>
          <w:sz w:val="18"/>
          <w:szCs w:val="18"/>
          <w:color w:val="auto"/>
        </w:rPr>
        <w:t>. Effective March 20, 2020, based on the recommendation of the Compensation Committee, the Board of Directors approved a grant of phantom units and cash award to Messrs. Deneke, Stratton, and Mallet. The underlying phantom units and cash award vest ratably over a three-year period. Holders of phantom units are entitled to distribution equivalent rights for each phantom unit, if applicable, providing for a lump sum payment equal to any accrued distributions from the grant date of the phantom units to be paid in cash upon the vesting date. The Compensation Committee selected equity awards that vest contingent on continued service to foster increased unit ownership by the NEOs and as a retention incentive for continued employment with the Partnership.</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September 11, 2020 Equity Grant to Mr. Johnston</w:t>
      </w:r>
      <w:r>
        <w:rPr>
          <w:rFonts w:ascii="Arial" w:cs="Arial" w:eastAsia="Arial" w:hAnsi="Arial"/>
          <w:sz w:val="18"/>
          <w:szCs w:val="18"/>
          <w:color w:val="auto"/>
        </w:rPr>
        <w:t>. As an inducement to accept the position of Executive Vice President, General Counsel and Chief Compliance Officer of the General Partner, on September 11, 2020, Mr. Johnston received a one-time grant of phantom units and cash award valued at approximately $1,155,000, pursuant to a standalone phantom unit award agreement (the "Award Agreement"). Subject to the terms and conditions of the Award Agreement, the underlying phantom units will vest ratably over a two-year period, and are entitled to distribution equivalent rights for each phantom unit, if applicable, providing for a lump sum payment equal to any accrued distributions from the grant date of the phantom units to be paid in cash upon the vesting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SMLP LTIP grants to our NEOs are subject to accelerated vesting on the occurrence of any of the following events: (i) a termination of the NEO's employment other than for cause, (ii) a termination of the NEO's employment by the NEO for good reason (as defined in the NEO's employment agreement), (iii) a termination of the NEO's employment by reason of the NEO's death or disability or (iv) a Change in Control (as defined in the applicable award agreement).</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calculate the number of phantom units granted to each eligible NEO in March 2020, the Compensation Committee determined the dollar amount of the long-term incentive compensation award, and then granted the number of phantom units that had a fair market value equal to that amount as of market close on the date of the grant. The same calculation was performed with respect to the September 4, 2020 grant to Mr. Johnston. Phantom unit and Cash awards granted in 2020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2020 Target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LTIP</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Award: Percent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Phantom</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2020 SMLP</w:t>
            </w: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of Base Salary</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Units</w:t>
            </w: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2020 Cash</w:t>
            </w: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LTIP Award</w:t>
            </w:r>
          </w:p>
        </w:tc>
      </w:t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Awarded (#)</w:t>
            </w: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Awarded ($)</w:t>
            </w: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Value ($)</w:t>
            </w:r>
          </w:p>
        </w:tc>
      </w:tr>
      <w:tr>
        <w:trPr>
          <w:trHeight w:val="223"/>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108,882</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758,257</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1,650,000</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Marc D. Stratton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25,406</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369,427</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577,500</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5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33,333</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800,000</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1,155,000</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Leonard W. Mallett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Former Executive Vice President and Chief Operations Officer</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29,035</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422,202</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660,000</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Former Executive Vice President and Chief Administration Officer</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firstLine="8"/>
        <w:spacing w:after="0" w:line="237" w:lineRule="auto"/>
        <w:tabs>
          <w:tab w:leader="none" w:pos="85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Although Mr. Johnston’s employment agreement provides for a target LTIP award valued at 165% of his base salary, in 2020 the value of his initial one-time grant of phantom units and cash award was approved by the Compensation Committee.</w:t>
      </w:r>
    </w:p>
    <w:p>
      <w:pPr>
        <w:spacing w:after="0" w:line="129" w:lineRule="exact"/>
        <w:rPr>
          <w:rFonts w:ascii="Arial" w:cs="Arial" w:eastAsia="Arial" w:hAnsi="Arial"/>
          <w:sz w:val="14"/>
          <w:szCs w:val="14"/>
          <w:color w:val="auto"/>
        </w:rPr>
      </w:pPr>
    </w:p>
    <w:p>
      <w:pPr>
        <w:ind w:left="860" w:hanging="852"/>
        <w:spacing w:after="0"/>
        <w:tabs>
          <w:tab w:leader="none" w:pos="8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Ms. Matthews employment terminated effective April 1, 2020. Ms. Mathews received no grants of phantom unit awards in 2020.</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Retirement, Health and Welfare and Additional Benefits. </w:t>
      </w:r>
      <w:r>
        <w:rPr>
          <w:rFonts w:ascii="Arial" w:cs="Arial" w:eastAsia="Arial" w:hAnsi="Arial"/>
          <w:sz w:val="18"/>
          <w:szCs w:val="18"/>
          <w:color w:val="auto"/>
        </w:rPr>
        <w:t>The NEOs are eligible to participate in such employee benefit plans and programs we offer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employees, subject to the terms and eligibility requirements of those plans.</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401(k) Plan</w:t>
      </w:r>
      <w:r>
        <w:rPr>
          <w:rFonts w:ascii="Arial" w:cs="Arial" w:eastAsia="Arial" w:hAnsi="Arial"/>
          <w:sz w:val="18"/>
          <w:szCs w:val="18"/>
          <w:color w:val="auto"/>
        </w:rPr>
        <w:t>. The NEOs are eligible to participate in a tax qualified 401(k) defined contribution plan to the same extent as all of our other employees. In 2020, we made a fully vested matching contribution on behalf of each of the 401(k) plan's participants up to 5% of such participant's eligible salary for the year.</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Health Savings Account ("HSA") Program</w:t>
      </w:r>
      <w:r>
        <w:rPr>
          <w:rFonts w:ascii="Arial" w:cs="Arial" w:eastAsia="Arial" w:hAnsi="Arial"/>
          <w:sz w:val="18"/>
          <w:szCs w:val="18"/>
          <w:color w:val="auto"/>
        </w:rPr>
        <w:t>. The NEOs are eligible to participate in a tax qualified health savings account (“HSA”) if they are enrolled in the available high-deductible health plan. The HSA is a tax-free savings account owned by an individual and can be used to pay for current or future qualified medical expenses. Participants determine how much to contribute, when and how to spend the money on eligible medical expenses, and how to invest the balance. The balance remains in the account and is not subject to forfeiture. The Partnership makes annual contributions to all HSA-eligible employees who enroll in and contribute to an HSA. In 2020, we made tax-free HSA contributions of $600 to Mr. Deneke, $600 to Mr. Stratton and $185 to Ms. Matthews.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Effective May 28, 2020, the Deferred Compensation Plan was terminated. As a result, payment of all remaining amounts deferred thereunder was tendered to participants or their designated beneficiaries, as applicable, in a single lump sum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Benefits</w:t>
      </w:r>
      <w:r>
        <w:rPr>
          <w:rFonts w:ascii="Arial" w:cs="Arial" w:eastAsia="Arial" w:hAnsi="Arial"/>
          <w:sz w:val="18"/>
          <w:szCs w:val="18"/>
          <w:color w:val="auto"/>
        </w:rPr>
        <w:t>. Pursuant to the terms of their employment agreements:</w:t>
      </w:r>
    </w:p>
    <w:p>
      <w:pPr>
        <w:spacing w:after="0" w:line="117" w:lineRule="exact"/>
        <w:rPr>
          <w:sz w:val="20"/>
          <w:szCs w:val="20"/>
          <w:color w:val="auto"/>
        </w:rPr>
      </w:pPr>
    </w:p>
    <w:p>
      <w:pPr>
        <w:ind w:left="800" w:hanging="401"/>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NEOs are entitled to reimbursement for tax preparation and advisory services expenses of up to $12,000 per year.</w:t>
      </w:r>
    </w:p>
    <w:p>
      <w:pPr>
        <w:spacing w:after="0" w:line="23" w:lineRule="exact"/>
        <w:rPr>
          <w:rFonts w:ascii="Arial" w:cs="Arial" w:eastAsia="Arial" w:hAnsi="Arial"/>
          <w:sz w:val="18"/>
          <w:szCs w:val="18"/>
          <w:color w:val="auto"/>
        </w:rPr>
      </w:pPr>
    </w:p>
    <w:p>
      <w:pPr>
        <w:ind w:left="800" w:right="140" w:hanging="401"/>
        <w:spacing w:after="0" w:line="260"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Deneke is entitled to be reimbursed up to $15,000 per year for annual international or local chapter dues associated with his membership in the Young Presidents Organization (“YPO”).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Expenditures for these benefits are included as “All Other Compensation” in the Summary Compensation Table and further described in the table entitled “All Other Compensation”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Arrangements.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Employment Agreements</w:t>
      </w:r>
      <w:r>
        <w:rPr>
          <w:rFonts w:ascii="Arial" w:cs="Arial" w:eastAsia="Arial" w:hAnsi="Arial"/>
          <w:sz w:val="18"/>
          <w:szCs w:val="18"/>
          <w:color w:val="auto"/>
        </w:rPr>
        <w:t>. Our NEOs each have employment agreements with Summit Operating. Elements of the NEOs’ total direct compensation are subject to periodic review and may be adjusted accordingly by the Compensation Committee.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Deneke’s employment agreement, which has an effective date of September 1, 2020, has an initial term that expires on September 1, 2022, and is then automatically extended for successive one-year periods, unless either party gives notice of non-extension to the other no later than 30 days prior to the expiration of the then-applicable term. Mr. Deneke’s employment agreement provides for an annual base salary of $600,000, and a performance-based bonus ranging from 0% to 300% of base salary, with a target of 150% of base salary. Mr. Deneke is entitled to receive a prorated annual bonus (based on target) if his employment is terminated by Mr. Deneke with good reason, or by us without cause or as a result of a non-extension of the term, or due to death or disability. In addition, Mr. Deneke’s employment agreement also provides for reimbursement of certain business expenses incurred in connection with his employment, including company-paid tax preparation and advisory services of up to $12,000 per year and YPO membership dues of up to $15,000 per year.</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Deneke’s employment agreement provides for a cash severance payment upon a termination resulting from a non-extension of the term by us, or a termination by us without cause or by Mr. Deneke for good reason, which is defined generally as the officer's termination of employment within two years after the occurrence of (i) a material diminution in Mr. Deneke’s authority, duties or responsibilities, (ii) a material diminution in the aggregated total of Mr. Deneke’s base salary, target bonus (as a percentage of base salary) or Annual LTIP Target (as that term is defined in the agreement), (iii) a material change in the geographic location at which Mr. Deneke must perform his services under the agreement, (iv) a change in Mr. Deneke’s reporting relationship resulting in Mr. Deneke no longer reporting directly to the Board of Directors, or (v) any other action or inaction that constitutes a material breach of the employment agreement by us (each a "Qualifying Termination"). In the event of a Qualifying Termination, Mr. Deneke’s severance payment will be equal to two and one-half times the sum of his annual base salary and the higher of his target annual bonus payable in respect of the immediately preceding year and the annual bonus actually paid to him in respect of that year.</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Following any termination of employment other than one resulting from non-extension of the term, his employment agreement provides that Mr. Deneke will be subject to a post-termination non-competition covenant through the severance period, and, following any termination of employment, Mr. Deneke will be subject to a one-year post-termination non-solicitation covenant. If Mr. Deneke’s employment terminates as a result of a non-extension of the term, we may choose to subject him to a non-competition covenant for up to one year post-termination. If we exercise this “noncompete option” following a non-extension of term by Mr. Deneke, then Mr. Deneke would be entitled to a severance payment in an amount equal to two and one-half times the sum of his annual base salary and the higher of his target annual bonus payable in respect of the immediately preceding year and the annual bonus actually paid to him in respect of that year, multiplied by a fraction, the numerator of which is equal to the number of days from the date of termination through the expiration of the restricted period (as elected by us) and the denominator of which is 365. In this case, the severance payment will be payable in equal installments over the restricted period. Following any termination of employment, we have agreed to pay the out-of-pocket premium cost to continue Mr. Deneke’s medical and dental coverage for a period not to exceed 18 months, with such coverage terminating if any new employer provides benefits coverage.</w:t>
      </w:r>
    </w:p>
    <w:p>
      <w:pPr>
        <w:spacing w:after="0" w:line="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Mr. Deneke’s employment agreement also provides that all equity awards granted to him under the SMLP LTIP and held by him as of immediately prior to a change in control of the Partnership or the General Partner will become fully vested immediately prior to the change in control.</w:t>
      </w:r>
    </w:p>
    <w:p>
      <w:pPr>
        <w:spacing w:after="0" w:line="3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Additionally, as an inducement to accept the position as our President and Chief Executive Officer of the General Partner, at the beginning of his employment term, Mr. Deneke received a one-time grant of phantom units valued at $4,000,000, pursuant to standalone phantom unit award agreement (“Deneke Award Agreement”). Subject to the terms and conditions of the Deneke Award Agreement, the underlying phantom units will vest ratably over a three-year period, and are entitled to distribution equivalent rights for each phantom unit, providing for a lump sum payment equal to the accrued distributions from the grant date of the phantom units to be paid in cash upon the vesting date. Furthermore, the phantom units will be subject to accelerated vesting on the occurrence of any of the following events: (i) a termination of Mr. Deneke’s employment other than for cause, (ii)</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termination of employment by Mr. Deneke for good reason (as that term is defined in Mr. Deneke’s employment agreement), (iii) a termination of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Deneke’s employment by reason of death or disability or (iv) a Change in Control (as defined in the Award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NEOs’ employment agreements are substantially the same as Mr. Deneke’s, except for the following:</w:t>
      </w:r>
    </w:p>
    <w:p>
      <w:pPr>
        <w:spacing w:after="0" w:line="117" w:lineRule="exact"/>
        <w:rPr>
          <w:sz w:val="20"/>
          <w:szCs w:val="20"/>
          <w:color w:val="auto"/>
        </w:rPr>
      </w:pPr>
    </w:p>
    <w:p>
      <w:pPr>
        <w:ind w:left="800" w:right="140" w:hanging="401"/>
        <w:spacing w:after="0" w:line="274" w:lineRule="auto"/>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the other NEOs is entitled to a severance payment in the event of a Qualifying Termination equal to one and one-half times the sum of his or her annual base salary and his or her annual bonus payable in respect of the immediately preceding year.</w:t>
      </w:r>
    </w:p>
    <w:p>
      <w:pPr>
        <w:ind w:left="800" w:right="80" w:hanging="401"/>
        <w:spacing w:after="0" w:line="250" w:lineRule="auto"/>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the other NEOs is entitled to a severance payment in the event the we exercise the “noncompete option” following a non-extension of the term by the NEO equal to the sum of 1.5 times his annual base salary and the higher of his target annual bonus and the annual bonus paid to him in respect of the immediately preceding year.</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of the other NEOs is entitled to a performance-based bonus ranging from 0% to 200% of base salary, with a target of 100% of base salary.</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other NEOs are not entitled to be reimbursed for membership dues.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Mr. Stratton’s base salary is $350,000, and the initial term of his employment agreement ends on September 1, 2022.</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Mr. Johnston’s base salary is $350,000, and the initial term of his employment agreement ends on September 4,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Retention Bonus Agreements</w:t>
      </w:r>
      <w:r>
        <w:rPr>
          <w:rFonts w:ascii="Arial" w:cs="Arial" w:eastAsia="Arial" w:hAnsi="Arial"/>
          <w:sz w:val="18"/>
          <w:szCs w:val="18"/>
          <w:color w:val="auto"/>
        </w:rPr>
        <w: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Effective June 7, 2019, and prior to the GP Buy-In Transaction, Summit Investments, the General Partner, and SMLP jointly entered into retention bonus agreements with certain NEOs for the amounts indicated below:</w:t>
      </w:r>
    </w:p>
    <w:p>
      <w:pPr>
        <w:spacing w:after="0" w:line="6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Mr. Mallett:</w:t>
            </w: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$420,000</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Mr. Stratton: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$365,000</w:t>
            </w:r>
          </w:p>
        </w:tc>
      </w:tr>
      <w:tr>
        <w:trPr>
          <w:trHeight w:val="324"/>
        </w:trPr>
        <w:tc>
          <w:tcPr>
            <w:tcW w:w="2100" w:type="dxa"/>
            <w:vAlign w:val="bottom"/>
          </w:tcPr>
          <w:p>
            <w:pPr>
              <w:spacing w:after="0"/>
              <w:rPr>
                <w:sz w:val="20"/>
                <w:szCs w:val="20"/>
                <w:color w:val="auto"/>
              </w:rPr>
            </w:pPr>
            <w:r>
              <w:rPr>
                <w:rFonts w:ascii="Arial" w:cs="Arial" w:eastAsia="Arial" w:hAnsi="Arial"/>
                <w:sz w:val="18"/>
                <w:szCs w:val="18"/>
                <w:color w:val="auto"/>
              </w:rPr>
              <w:t>Ms. Matthews:</w:t>
            </w:r>
          </w:p>
        </w:tc>
        <w:tc>
          <w:tcPr>
            <w:tcW w:w="1920" w:type="dxa"/>
            <w:vAlign w:val="bottom"/>
          </w:tcPr>
          <w:p>
            <w:pPr>
              <w:jc w:val="right"/>
              <w:spacing w:after="0"/>
              <w:rPr>
                <w:sz w:val="20"/>
                <w:szCs w:val="20"/>
                <w:color w:val="auto"/>
              </w:rPr>
            </w:pPr>
            <w:r>
              <w:rPr>
                <w:rFonts w:ascii="Arial" w:cs="Arial" w:eastAsia="Arial" w:hAnsi="Arial"/>
                <w:sz w:val="18"/>
                <w:szCs w:val="18"/>
                <w:color w:val="auto"/>
              </w:rPr>
              <w:t>$365,000</w:t>
            </w:r>
          </w:p>
        </w:tc>
      </w:tr>
    </w:tbl>
    <w:p>
      <w:pPr>
        <w:spacing w:after="0" w:line="9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agreements provided for a cash payment “Retention Bonus” upon the earlier of a termination without cause or a change in control (as those terms are defined in the executive’s employment agreement). The agreements terminated if the executive officer continued to be employed and a change in control had not occurred on or prior to December 31, 2020.</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Mr. Mallett’s employment terminated effective October 31, 2020. According to the terms of his retention bonus agreement, Mr. Mallett received payment of $420,000 upon his termination. Ms. Matthews’ employment terminated effective April 1, 2020. According to the terms of her retention bonus agreement, Ms. Matthews’ received payment of $365,000 upon her termination.</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Risk Assessment Relative to Compensation Programs. </w:t>
      </w:r>
      <w:r>
        <w:rPr>
          <w:rFonts w:ascii="Arial" w:cs="Arial" w:eastAsia="Arial" w:hAnsi="Arial"/>
          <w:sz w:val="17"/>
          <w:szCs w:val="17"/>
          <w:color w:val="auto"/>
        </w:rPr>
        <w:t>The Compensation Committee manages risk as it relates to our compensation plans, programs,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 (collectively, our “Compensation Practices”). The Compensation Committee meets with management to review whether any aspect of our Compensation Practices creates incentives for our employees to take inappropriate risks that could materially adversely affect the Partnership. Accordingly, we believe that the compensation practices for our NEOs and other employees are appropriately structured and do not pose a material risk to the Partnership. We believe these compensation practices are designed and implemented in a manner that does not promote excessive risk-taking that could damage the value of the Partnership or provide compensatory rewards for inappropriate decisions or behavior.</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Compensation Committee Report. </w:t>
      </w:r>
      <w:r>
        <w:rPr>
          <w:rFonts w:ascii="Arial" w:cs="Arial" w:eastAsia="Arial" w:hAnsi="Arial"/>
          <w:sz w:val="18"/>
          <w:szCs w:val="18"/>
          <w:color w:val="auto"/>
        </w:rPr>
        <w:t>The Compensation Committee has reviewed and discussed this CD&amp;A with the our management and, based 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and discussion, has recommended to the Board of Directors that the CD&amp;A be included in the Annual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2020, 2019 and 2018</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certain information with respect to the compensation paid to our NEOs for the years ended December 31, 2020,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2018.</w:t>
      </w:r>
    </w:p>
    <w:tbl>
      <w:tblPr>
        <w:tblLayout w:type="fixed"/>
        <w:tblInd w:w="0" w:type="dxa"/>
        <w:tblCellMar>
          <w:top w:w="0" w:type="dxa"/>
          <w:left w:w="0" w:type="dxa"/>
          <w:bottom w:w="0" w:type="dxa"/>
          <w:right w:w="0" w:type="dxa"/>
        </w:tblCellMar>
      </w:tblPr>
      <w:tr>
        <w:trPr>
          <w:trHeight w:val="148"/>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3"/>
                <w:szCs w:val="13"/>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Salary ($)</w:t>
            </w: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Bonus ($)</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2"/>
        </w:trPr>
        <w:tc>
          <w:tcPr>
            <w:tcW w:w="4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740" w:type="dxa"/>
            <w:vAlign w:val="bottom"/>
          </w:tcPr>
          <w:p>
            <w:pPr>
              <w:jc w:val="right"/>
              <w:ind w:right="289"/>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Heath Deneke</w:t>
            </w: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b w:val="1"/>
                <w:bCs w:val="1"/>
                <w:color w:val="auto"/>
              </w:rPr>
              <w:t>600,000</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b w:val="1"/>
                <w:bCs w:val="1"/>
                <w:color w:val="auto"/>
              </w:rPr>
              <w:t>758,257</w:t>
            </w:r>
          </w:p>
        </w:tc>
        <w:tc>
          <w:tcPr>
            <w:tcW w:w="1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891,743</w:t>
            </w: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675,000</w:t>
            </w: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52,671</w:t>
            </w: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89"/>
              </w:rPr>
              <w:t>2,977,671</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President and Chief Executive Officer</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161,538</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28,822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4,490,360</w:t>
            </w:r>
          </w:p>
        </w:tc>
        <w:tc>
          <w:tcPr>
            <w:tcW w:w="0" w:type="dxa"/>
            <w:vAlign w:val="bottom"/>
          </w:tcPr>
          <w:p>
            <w:pPr>
              <w:spacing w:after="0"/>
              <w:rPr>
                <w:sz w:val="1"/>
                <w:szCs w:val="1"/>
                <w:color w:val="auto"/>
              </w:rPr>
            </w:pPr>
          </w:p>
        </w:tc>
      </w:tr>
      <w:tr>
        <w:trPr>
          <w:trHeight w:val="157"/>
        </w:trPr>
        <w:tc>
          <w:tcPr>
            <w:tcW w:w="4640" w:type="dxa"/>
            <w:vAlign w:val="bottom"/>
          </w:tcPr>
          <w:p>
            <w:pPr>
              <w:spacing w:after="0" w:line="157" w:lineRule="exact"/>
              <w:rPr>
                <w:sz w:val="20"/>
                <w:szCs w:val="20"/>
                <w:color w:val="auto"/>
              </w:rPr>
            </w:pPr>
            <w:r>
              <w:rPr>
                <w:rFonts w:ascii="Arial" w:cs="Arial" w:eastAsia="Arial" w:hAnsi="Arial"/>
                <w:sz w:val="14"/>
                <w:szCs w:val="14"/>
                <w:b w:val="1"/>
                <w:bCs w:val="1"/>
                <w:color w:val="auto"/>
              </w:rPr>
              <w:t>Marc D. Stratton</w:t>
            </w:r>
          </w:p>
        </w:tc>
        <w:tc>
          <w:tcPr>
            <w:tcW w:w="54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6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auto"/>
              </w:rPr>
              <w:t>350,000</w:t>
            </w:r>
          </w:p>
        </w:tc>
        <w:tc>
          <w:tcPr>
            <w:tcW w:w="120" w:type="dxa"/>
            <w:vAlign w:val="bottom"/>
          </w:tcPr>
          <w:p>
            <w:pPr>
              <w:spacing w:after="0"/>
              <w:rPr>
                <w:sz w:val="13"/>
                <w:szCs w:val="13"/>
                <w:color w:val="auto"/>
              </w:rPr>
            </w:pPr>
          </w:p>
        </w:tc>
        <w:tc>
          <w:tcPr>
            <w:tcW w:w="74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auto"/>
              </w:rPr>
              <w:t>369,427</w:t>
            </w:r>
          </w:p>
        </w:tc>
        <w:tc>
          <w:tcPr>
            <w:tcW w:w="12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208,073</w:t>
            </w:r>
          </w:p>
        </w:tc>
        <w:tc>
          <w:tcPr>
            <w:tcW w:w="12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262,500</w:t>
            </w:r>
          </w:p>
        </w:tc>
        <w:tc>
          <w:tcPr>
            <w:tcW w:w="120" w:type="dxa"/>
            <w:vAlign w:val="bottom"/>
          </w:tcPr>
          <w:p>
            <w:pPr>
              <w:spacing w:after="0"/>
              <w:rPr>
                <w:sz w:val="13"/>
                <w:szCs w:val="13"/>
                <w:color w:val="auto"/>
              </w:rPr>
            </w:pP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34,171</w:t>
            </w:r>
          </w:p>
        </w:tc>
        <w:tc>
          <w:tcPr>
            <w:tcW w:w="12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1,224,171</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Executive Vice President and Chief Financial Officer</w:t>
            </w: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262,500</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768,500</w:t>
            </w: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170,625</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28,800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1,230,425</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231,782</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254,625</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31,700</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743,107</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 xml:space="preserve">James Johnston </w:t>
            </w:r>
            <w:r>
              <w:rPr>
                <w:rFonts w:ascii="Arial" w:cs="Arial" w:eastAsia="Arial" w:hAnsi="Arial"/>
                <w:sz w:val="12"/>
                <w:szCs w:val="12"/>
                <w:b w:val="1"/>
                <w:bCs w:val="1"/>
                <w:color w:val="auto"/>
              </w:rPr>
              <w:t>(5)</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4"/>
                <w:szCs w:val="14"/>
                <w:b w:val="1"/>
                <w:bCs w:val="1"/>
                <w:color w:val="auto"/>
              </w:rPr>
              <w:t>102,308</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b w:val="1"/>
                <w:bCs w:val="1"/>
                <w:color w:val="auto"/>
              </w:rPr>
              <w:t>800,000</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355,000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87,500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10,262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1,355,070</w:t>
            </w:r>
          </w:p>
        </w:tc>
        <w:tc>
          <w:tcPr>
            <w:tcW w:w="0" w:type="dxa"/>
            <w:vAlign w:val="bottom"/>
          </w:tcPr>
          <w:p>
            <w:pPr>
              <w:spacing w:after="0"/>
              <w:rPr>
                <w:sz w:val="1"/>
                <w:szCs w:val="1"/>
                <w:color w:val="auto"/>
              </w:rPr>
            </w:pPr>
          </w:p>
        </w:tc>
      </w:tr>
      <w:tr>
        <w:trPr>
          <w:trHeight w:val="143"/>
        </w:trPr>
        <w:tc>
          <w:tcPr>
            <w:tcW w:w="46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Executive Vice President, General Counsel, Chief Compliance Officer and</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Secretary</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40" w:type="dxa"/>
            <w:vAlign w:val="bottom"/>
          </w:tcPr>
          <w:p>
            <w:pPr>
              <w:spacing w:after="0" w:line="157" w:lineRule="exact"/>
              <w:rPr>
                <w:sz w:val="20"/>
                <w:szCs w:val="20"/>
                <w:color w:val="auto"/>
              </w:rPr>
            </w:pPr>
            <w:r>
              <w:rPr>
                <w:rFonts w:ascii="Arial" w:cs="Arial" w:eastAsia="Arial" w:hAnsi="Arial"/>
                <w:sz w:val="14"/>
                <w:szCs w:val="14"/>
                <w:b w:val="1"/>
                <w:bCs w:val="1"/>
                <w:color w:val="auto"/>
              </w:rPr>
              <w:t xml:space="preserve">Leonard W. Mallett </w:t>
            </w:r>
            <w:r>
              <w:rPr>
                <w:rFonts w:ascii="Arial" w:cs="Arial" w:eastAsia="Arial" w:hAnsi="Arial"/>
                <w:sz w:val="12"/>
                <w:szCs w:val="12"/>
                <w:b w:val="1"/>
                <w:bCs w:val="1"/>
                <w:color w:val="auto"/>
              </w:rPr>
              <w:t>(6)</w:t>
            </w:r>
          </w:p>
        </w:tc>
        <w:tc>
          <w:tcPr>
            <w:tcW w:w="54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6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auto"/>
              </w:rPr>
              <w:t>346,154</w:t>
            </w:r>
          </w:p>
        </w:tc>
        <w:tc>
          <w:tcPr>
            <w:tcW w:w="120" w:type="dxa"/>
            <w:vAlign w:val="bottom"/>
          </w:tcPr>
          <w:p>
            <w:pPr>
              <w:spacing w:after="0"/>
              <w:rPr>
                <w:sz w:val="13"/>
                <w:szCs w:val="13"/>
                <w:color w:val="auto"/>
              </w:rPr>
            </w:pPr>
          </w:p>
        </w:tc>
        <w:tc>
          <w:tcPr>
            <w:tcW w:w="74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auto"/>
              </w:rPr>
              <w:t>842,202</w:t>
            </w:r>
          </w:p>
        </w:tc>
        <w:tc>
          <w:tcPr>
            <w:tcW w:w="12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237,798</w:t>
            </w:r>
          </w:p>
        </w:tc>
        <w:tc>
          <w:tcPr>
            <w:tcW w:w="120" w:type="dxa"/>
            <w:vAlign w:val="bottom"/>
          </w:tcPr>
          <w:p>
            <w:pPr>
              <w:spacing w:after="0"/>
              <w:rPr>
                <w:sz w:val="13"/>
                <w:szCs w:val="13"/>
                <w:color w:val="auto"/>
              </w:rPr>
            </w:pP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158,333</w:t>
            </w:r>
          </w:p>
        </w:tc>
        <w:tc>
          <w:tcPr>
            <w:tcW w:w="120" w:type="dxa"/>
            <w:vAlign w:val="bottom"/>
          </w:tcPr>
          <w:p>
            <w:pPr>
              <w:spacing w:after="0"/>
              <w:rPr>
                <w:sz w:val="13"/>
                <w:szCs w:val="13"/>
                <w:color w:val="auto"/>
              </w:rPr>
            </w:pP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150,700</w:t>
            </w:r>
          </w:p>
        </w:tc>
        <w:tc>
          <w:tcPr>
            <w:tcW w:w="12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1,735,187</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Former Executive Vice President and Chief Operations Officer</w:t>
            </w: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87,500</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843,500</w:t>
            </w: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227,500</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12,895</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1,521,395</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364,800</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364,800</w:t>
            </w:r>
          </w:p>
        </w:tc>
        <w:tc>
          <w:tcPr>
            <w:tcW w:w="1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13,773</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1,368,373</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 xml:space="preserve">Louise E. Matthews </w:t>
            </w:r>
            <w:r>
              <w:rPr>
                <w:rFonts w:ascii="Arial" w:cs="Arial" w:eastAsia="Arial" w:hAnsi="Arial"/>
                <w:sz w:val="12"/>
                <w:szCs w:val="12"/>
                <w:b w:val="1"/>
                <w:bCs w:val="1"/>
                <w:color w:val="auto"/>
              </w:rPr>
              <w:t>(7)</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4"/>
                <w:szCs w:val="14"/>
                <w:b w:val="1"/>
                <w:bCs w:val="1"/>
                <w:color w:val="auto"/>
              </w:rPr>
              <w:t>84,231</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b w:val="1"/>
                <w:bCs w:val="1"/>
                <w:color w:val="auto"/>
              </w:rPr>
              <w:t>365,000</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74,795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932,506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1,456,532</w:t>
            </w:r>
          </w:p>
        </w:tc>
        <w:tc>
          <w:tcPr>
            <w:tcW w:w="0" w:type="dxa"/>
            <w:vAlign w:val="bottom"/>
          </w:tcPr>
          <w:p>
            <w:pPr>
              <w:spacing w:after="0"/>
              <w:rPr>
                <w:sz w:val="1"/>
                <w:szCs w:val="1"/>
                <w:color w:val="auto"/>
              </w:rPr>
            </w:pPr>
          </w:p>
        </w:tc>
      </w:tr>
      <w:tr>
        <w:trPr>
          <w:trHeight w:val="162"/>
        </w:trPr>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Former Executive Vice President and Chief Administration Officer</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285,000</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693,500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185,250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35,197</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1,198,947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0" w:right="300" w:hanging="401"/>
        <w:spacing w:after="0" w:line="233" w:lineRule="auto"/>
        <w:tabs>
          <w:tab w:leader="none" w:pos="8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Amounts shown represent the portion of the NEO’s base salary and bonus allocated to the Partnership. Prior to closing the GP Buy-In Transaction in May 2020, compensation amounts for the NEO were allocated between the General Partner and SMLP. As a result of the GP Buy-In Transaction, the Partnership now pays for 100% of the NEO’s compensation. For a discussion of the cost allocation methodology, please refer to “Agreements with Affiliates—Reimbursement of Expenses from General Partner” in Item 13. Certain Relationships and Related Transactions, and Director Independence.</w:t>
      </w:r>
    </w:p>
    <w:p>
      <w:pPr>
        <w:spacing w:after="0" w:line="76" w:lineRule="exact"/>
        <w:rPr>
          <w:rFonts w:ascii="Arial" w:cs="Arial" w:eastAsia="Arial" w:hAnsi="Arial"/>
          <w:sz w:val="14"/>
          <w:szCs w:val="14"/>
          <w:color w:val="auto"/>
        </w:rPr>
      </w:pPr>
    </w:p>
    <w:p>
      <w:pPr>
        <w:ind w:left="800" w:right="180" w:hanging="401"/>
        <w:spacing w:after="0" w:line="264" w:lineRule="auto"/>
        <w:tabs>
          <w:tab w:leader="none" w:pos="8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Amounts shown reflect the grant date fair value of the phantom unit awards granted to the NEOs in 2020, 2019 and 2018, respectively, in accordance with FASB Accounting Standards Codification Topic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("FASB ASC Topic 718"). For the assumptions made in valuing these awards, see Note 16 to the consolidated financial statements. For additional information, please refer to "Components of Executive Compensation—Long-Term Equity-Based Compensation Awards" above.</w:t>
      </w:r>
    </w:p>
    <w:p>
      <w:pPr>
        <w:spacing w:after="0" w:line="60" w:lineRule="exact"/>
        <w:rPr>
          <w:rFonts w:ascii="Arial" w:cs="Arial" w:eastAsia="Arial" w:hAnsi="Arial"/>
          <w:sz w:val="13"/>
          <w:szCs w:val="13"/>
          <w:color w:val="auto"/>
        </w:rPr>
      </w:pPr>
    </w:p>
    <w:p>
      <w:pPr>
        <w:ind w:left="800" w:right="40" w:hanging="401"/>
        <w:spacing w:after="0" w:line="231" w:lineRule="auto"/>
        <w:tabs>
          <w:tab w:leader="none" w:pos="8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Amounts shown represent the incentive bonus earned under the Partnership’s annual incentive bonus program in the fiscal year indicated but paid in the following fiscal year. The amounts shown represent that portion of the NEO's annual bonus that has been allocated to SMLP. Prior to closing the GP Buy-In Transaction in May 2020, compensation amounts for the NEO were allocated between the General Partner and SMLP. As a result of the GP Buy-In Transaction, the Partnership now pays for 100% of the NEO’s compensation. For a discussion of the cost allocation methodology, please refer to “Agreements with Affiliates—Reimbursement of Expenses from General Partner” in Item 13. Certain Relationships and Related Transactions, and Director Independence</w:t>
      </w:r>
    </w:p>
    <w:p>
      <w:pPr>
        <w:spacing w:after="0" w:line="75" w:lineRule="exact"/>
        <w:rPr>
          <w:rFonts w:ascii="Arial" w:cs="Arial" w:eastAsia="Arial" w:hAnsi="Arial"/>
          <w:sz w:val="14"/>
          <w:szCs w:val="14"/>
          <w:color w:val="auto"/>
        </w:rPr>
      </w:pPr>
    </w:p>
    <w:p>
      <w:pPr>
        <w:ind w:left="800" w:right="80" w:hanging="401"/>
        <w:spacing w:after="0" w:line="231" w:lineRule="auto"/>
        <w:tabs>
          <w:tab w:leader="none" w:pos="8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table below presents the components of "All Other Compensation" allocated to SMLP for each NEO for the fiscal year ended December 31, 2020. For additional information, please see "Components of Executive Compensation—Retirement, Health and Welfare and Additional Benefits" above. Prior to closing the GP Buy-In Transaction in May 2020, compensation amounts for the NEO were allocated between the General Partner and SMLP. As a result of the GP Buy-In Transaction, the Partnership now pays for 100% of the NEO’s compensation. For a discussion of the cost allocation methodology, please refer to “Agreements with Affiliates—Reimbursement of Expenses from General Partner” in Item 13. Certain Relationships and Related Transactions, and Director Independence</w:t>
      </w:r>
    </w:p>
    <w:p>
      <w:pPr>
        <w:spacing w:after="0" w:line="75" w:lineRule="exact"/>
        <w:rPr>
          <w:rFonts w:ascii="Arial" w:cs="Arial" w:eastAsia="Arial" w:hAnsi="Arial"/>
          <w:sz w:val="14"/>
          <w:szCs w:val="14"/>
          <w:color w:val="auto"/>
        </w:rPr>
      </w:pPr>
    </w:p>
    <w:p>
      <w:pPr>
        <w:ind w:left="800" w:hanging="401"/>
        <w:spacing w:after="0"/>
        <w:tabs>
          <w:tab w:leader="none" w:pos="8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Mr. Johnston began his employment with the Partnership effective September 4, 2020.</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Mr. Mallett’s employment terminated on October 31, 2020. The portion of the severance payment made to Mr. Mallett in 2020 is included in the “All Other Compensation” column.</w:t>
      </w:r>
    </w:p>
    <w:p>
      <w:pPr>
        <w:spacing w:after="0" w:line="107" w:lineRule="exact"/>
        <w:rPr>
          <w:rFonts w:ascii="Arial" w:cs="Arial" w:eastAsia="Arial" w:hAnsi="Arial"/>
          <w:sz w:val="13"/>
          <w:szCs w:val="13"/>
          <w:color w:val="auto"/>
        </w:rPr>
      </w:pPr>
    </w:p>
    <w:p>
      <w:pPr>
        <w:ind w:left="800" w:hanging="401"/>
        <w:spacing w:after="0"/>
        <w:tabs>
          <w:tab w:leader="none" w:pos="8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Ms. Matthews’ employment terminated on April 1, 2020. The severance payment made to Ms. Mathews in 2020 is included in the “All Other Compensation” column.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is a reasonable estimate, prepared under applicable SEC rules, of the ratio of the annual total compensation of our CEO to the median of the annual total compensation of our other employees. Although we previously identified our median employee on December 31, 2019, due to a change in our employee population that we reasonably believe will result in a significant change to our pay ratio disclosure, we identified a new median employee in 2020. For 2020, we determined or median employee by ranking our employees (other than the CEO) employed as of December 31, 2020 (the “determination date”) by the sum of each employee’s annualized base salary, his or her actual cash bonus received in 2020 for 2019 performance, and his or her actual overtime pay received in 2020. In annualizing each employee’s base salary, we used each employee’s base salary rate as of the determination date. We made no full-time equivalent adjustment for any employee, we had no temporary or seasonal workers as of the determination date, and we made no cost-of-living adjustments. The annual total compensation our median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employee (other than the CEO) for 2020 was $120,592. To determine the annual total compensation of our CEO for purposes of this disclosure, we chose the person who was serving as CEO as of the determination date and used the total compensation he received in 2020 as set forth in the Summary Compensation Table above. Accordingly, for purposes of this disclosure, we determined that the CEO’s annual total compensation for 2020 was $2,510,333. Based on the foregoing, we estimate of the ratio of the annual total compensation of our CEO to the median of the annual total compensation of all other employees was 20.8 to 1. Given the different methodologies that various public companies will use to determine an estimated pay ratio, our estimated pay ratio should not be used as a basis for comparison with ratios disclosed by other companies.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All Other Compensation. </w:t>
      </w:r>
      <w:r>
        <w:rPr>
          <w:rFonts w:ascii="Arial" w:cs="Arial" w:eastAsia="Arial" w:hAnsi="Arial"/>
          <w:sz w:val="18"/>
          <w:szCs w:val="18"/>
          <w:color w:val="auto"/>
        </w:rPr>
        <w:t>The following table sets forth information concerning all other compensation paid to our NEOs in 2020.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Health</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Savings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Account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Medical</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Individual</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(HSA)</w:t>
            </w: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401(k) Plan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Insurance</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Employer</w:t>
            </w: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Employer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w:t>
            </w:r>
          </w:p>
        </w:tc>
        <w:tc>
          <w:tcPr>
            <w:tcW w:w="10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Premium</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Preparation</w:t>
            </w: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Contributions</w:t>
            </w: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Contributions</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Membership</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Paid in</w:t>
            </w:r>
          </w:p>
        </w:tc>
        <w:tc>
          <w:tcPr>
            <w:tcW w:w="1060" w:type="dxa"/>
            <w:vAlign w:val="bottom"/>
          </w:tcPr>
          <w:p>
            <w:pPr>
              <w:spacing w:after="0"/>
              <w:rPr>
                <w:sz w:val="18"/>
                <w:szCs w:val="18"/>
                <w:color w:val="auto"/>
              </w:rPr>
            </w:pPr>
          </w:p>
        </w:tc>
      </w:t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Dues ($)</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 ($)</w:t>
            </w: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 ($)</w:t>
            </w:r>
            <w:r>
              <w:rPr>
                <w:rFonts w:ascii="Arial" w:cs="Arial" w:eastAsia="Arial" w:hAnsi="Arial"/>
                <w:sz w:val="15"/>
                <w:szCs w:val="15"/>
                <w:b w:val="1"/>
                <w:bCs w:val="1"/>
                <w:color w:val="auto"/>
                <w:w w:val="97"/>
              </w:rPr>
              <w:t>(1)</w:t>
            </w: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18,071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12,000</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14,250</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7,750</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52,671</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Marc D. Stratton</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18,071</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34,171</w:t>
            </w:r>
          </w:p>
        </w:tc>
      </w:tr>
      <w:tr>
        <w:trPr>
          <w:trHeight w:val="229"/>
        </w:trPr>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Johnston</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6,224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4,038</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10,262</w:t>
            </w:r>
          </w:p>
        </w:tc>
      </w:tr>
      <w:tr>
        <w:trPr>
          <w:trHeight w:val="229"/>
        </w:trPr>
        <w:tc>
          <w:tcPr>
            <w:tcW w:w="2700" w:type="dxa"/>
            <w:vAlign w:val="bottom"/>
            <w:gridSpan w:val="2"/>
          </w:tcPr>
          <w:p>
            <w:pPr>
              <w:spacing w:after="0"/>
              <w:rPr>
                <w:sz w:val="20"/>
                <w:szCs w:val="20"/>
                <w:color w:val="auto"/>
              </w:rPr>
            </w:pPr>
            <w:r>
              <w:rPr>
                <w:rFonts w:ascii="Arial" w:cs="Arial" w:eastAsia="Arial" w:hAnsi="Arial"/>
                <w:sz w:val="18"/>
                <w:szCs w:val="18"/>
                <w:color w:val="auto"/>
              </w:rPr>
              <w:t>Leonard W. Mallett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144,000</w:t>
            </w:r>
          </w:p>
        </w:tc>
        <w:tc>
          <w:tcPr>
            <w:tcW w:w="1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150,700</w:t>
            </w:r>
          </w:p>
        </w:tc>
      </w:tr>
      <w:tr>
        <w:trPr>
          <w:trHeight w:val="230"/>
        </w:trPr>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18,071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932,506</w:t>
            </w:r>
          </w:p>
        </w:tc>
      </w:tr>
    </w:tbl>
    <w:p>
      <w:pPr>
        <w:spacing w:after="0" w:line="121" w:lineRule="exact"/>
        <w:rPr>
          <w:sz w:val="20"/>
          <w:szCs w:val="20"/>
          <w:color w:val="auto"/>
        </w:rPr>
      </w:pPr>
    </w:p>
    <w:p>
      <w:pPr>
        <w:ind w:right="60" w:firstLine="8"/>
        <w:spacing w:after="0" w:line="254" w:lineRule="auto"/>
        <w:tabs>
          <w:tab w:leader="none" w:pos="826"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Amounts shown represent the portion of the NEO’s base salary and bonus allocated to the Partnership. Prior to closing the GP Buy-In Transaction in May 2020, compensation amounts for the NEO were allocated between the General Partner and SMLP. As a result of the GP Buy-In Transaction, the Partnership now pays for 100% of the NEO’s compensation. For a discussion of the cost allocation methodology, please refer to “Agreements with Affiliates—Reimbursement of Expenses from General Partner” in Item 13. Certain Relationships and Related Transactions, and Director Independence.</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 xml:space="preserve">Grants of Plan-Based Awards in 2020. </w:t>
      </w:r>
      <w:r>
        <w:rPr>
          <w:rFonts w:ascii="Arial" w:cs="Arial" w:eastAsia="Arial" w:hAnsi="Arial"/>
          <w:sz w:val="18"/>
          <w:szCs w:val="18"/>
          <w:color w:val="auto"/>
        </w:rPr>
        <w:t>The following table sets forth information concerning annual incentive awards and phantom unit awards granted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Partnership’s NEOs in fiscal year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All Other</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Grant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 Awards:</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Date Fair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 of</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Estimated Possible Payouts Under</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Stock and</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w:t>
            </w:r>
          </w:p>
        </w:tc>
      </w:t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Non-Equity Incentive Plan Awards</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Stocks or</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Awards</w:t>
            </w:r>
          </w:p>
        </w:tc>
      </w:tr>
      <w:tr>
        <w:trPr>
          <w:trHeight w:val="230"/>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ind w:right="77"/>
              <w:spacing w:after="0"/>
              <w:rPr>
                <w:sz w:val="20"/>
                <w:szCs w:val="20"/>
                <w:color w:val="auto"/>
              </w:rPr>
            </w:pPr>
            <w:r>
              <w:rPr>
                <w:rFonts w:ascii="Arial" w:cs="Arial" w:eastAsia="Arial" w:hAnsi="Arial"/>
                <w:sz w:val="15"/>
                <w:szCs w:val="15"/>
                <w:b w:val="1"/>
                <w:bCs w:val="1"/>
                <w:color w:val="auto"/>
                <w:w w:val="97"/>
              </w:rPr>
              <w:t>(1)</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 xml:space="preserve">Units </w:t>
            </w:r>
            <w:r>
              <w:rPr>
                <w:rFonts w:ascii="Arial" w:cs="Arial" w:eastAsia="Arial" w:hAnsi="Arial"/>
                <w:sz w:val="15"/>
                <w:szCs w:val="15"/>
                <w:b w:val="1"/>
                <w:bCs w:val="1"/>
                <w:color w:val="auto"/>
                <w:w w:val="93"/>
              </w:rPr>
              <w:t>(2)</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 xml:space="preserve">Awards </w:t>
            </w:r>
            <w:r>
              <w:rPr>
                <w:rFonts w:ascii="Arial" w:cs="Arial" w:eastAsia="Arial" w:hAnsi="Arial"/>
                <w:sz w:val="15"/>
                <w:szCs w:val="15"/>
                <w:b w:val="1"/>
                <w:bCs w:val="1"/>
                <w:color w:val="auto"/>
                <w:w w:val="90"/>
              </w:rPr>
              <w:t>(3)</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7"/>
              </w:rPr>
              <w:t>(4)</w:t>
            </w:r>
          </w:p>
        </w:tc>
        <w:tc>
          <w:tcPr>
            <w:tcW w:w="100" w:type="dxa"/>
            <w:vAlign w:val="bottom"/>
          </w:tcPr>
          <w:p>
            <w:pPr>
              <w:spacing w:after="0"/>
              <w:rPr>
                <w:sz w:val="19"/>
                <w:szCs w:val="19"/>
                <w:color w:val="auto"/>
              </w:rPr>
            </w:pPr>
          </w:p>
        </w:tc>
      </w:tr>
      <w:tr>
        <w:trPr>
          <w:trHeight w:val="205"/>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Grant</w:t>
            </w:r>
          </w:p>
        </w:tc>
        <w:tc>
          <w:tcPr>
            <w:tcW w:w="1120" w:type="dxa"/>
            <w:vAlign w:val="bottom"/>
            <w:tcBorders>
              <w:top w:val="single" w:sz="8" w:color="auto"/>
            </w:tcBorders>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89"/>
              </w:rPr>
              <w:t>Threshold</w:t>
            </w:r>
          </w:p>
        </w:tc>
        <w:tc>
          <w:tcPr>
            <w:tcW w:w="780" w:type="dxa"/>
            <w:vAlign w:val="bottom"/>
            <w:tcBorders>
              <w:top w:val="single" w:sz="8" w:color="auto"/>
            </w:tcBorders>
          </w:tcPr>
          <w:p>
            <w:pPr>
              <w:jc w:val="center"/>
              <w:ind w:right="77"/>
              <w:spacing w:after="0" w:line="205" w:lineRule="exact"/>
              <w:rPr>
                <w:sz w:val="20"/>
                <w:szCs w:val="20"/>
                <w:color w:val="auto"/>
              </w:rPr>
            </w:pPr>
            <w:r>
              <w:rPr>
                <w:rFonts w:ascii="Arial" w:cs="Arial" w:eastAsia="Arial" w:hAnsi="Arial"/>
                <w:sz w:val="18"/>
                <w:szCs w:val="18"/>
                <w:b w:val="1"/>
                <w:bCs w:val="1"/>
                <w:color w:val="auto"/>
                <w:w w:val="90"/>
              </w:rPr>
              <w:t>Target</w:t>
            </w:r>
          </w:p>
        </w:tc>
        <w:tc>
          <w:tcPr>
            <w:tcW w:w="1080" w:type="dxa"/>
            <w:vAlign w:val="bottom"/>
            <w:tcBorders>
              <w:top w:val="single" w:sz="8" w:color="auto"/>
            </w:tcBorders>
          </w:tcPr>
          <w:p>
            <w:pPr>
              <w:jc w:val="right"/>
              <w:ind w:right="16"/>
              <w:spacing w:after="0" w:line="205" w:lineRule="exact"/>
              <w:rPr>
                <w:sz w:val="20"/>
                <w:szCs w:val="20"/>
                <w:color w:val="auto"/>
              </w:rPr>
            </w:pPr>
            <w:r>
              <w:rPr>
                <w:rFonts w:ascii="Arial" w:cs="Arial" w:eastAsia="Arial" w:hAnsi="Arial"/>
                <w:sz w:val="18"/>
                <w:szCs w:val="18"/>
                <w:b w:val="1"/>
                <w:bCs w:val="1"/>
                <w:color w:val="auto"/>
              </w:rPr>
              <w:t>Maximum</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34"/>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w:t>
            </w:r>
          </w:p>
        </w:tc>
        <w:tc>
          <w:tcPr>
            <w:tcW w:w="2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0"/>
              </w:rPr>
              <w:t>(#)</w:t>
            </w:r>
          </w:p>
        </w:tc>
        <w:tc>
          <w:tcPr>
            <w:tcW w:w="20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0"/>
              </w:rPr>
              <w:t>($)</w:t>
            </w:r>
          </w:p>
        </w:tc>
        <w:tc>
          <w:tcPr>
            <w:tcW w:w="2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r>
      <w:tr>
        <w:trPr>
          <w:trHeight w:val="206"/>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Heath Deneke</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3/23/2020</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6"/>
                <w:szCs w:val="16"/>
                <w:color w:val="auto"/>
              </w:rPr>
              <w:t>900,000</w:t>
            </w:r>
          </w:p>
        </w:tc>
        <w:tc>
          <w:tcPr>
            <w:tcW w:w="10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6"/>
                <w:szCs w:val="16"/>
                <w:color w:val="auto"/>
              </w:rPr>
              <w:t>1,800,000</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center"/>
              <w:ind w:right="34"/>
              <w:spacing w:after="0"/>
              <w:rPr>
                <w:sz w:val="20"/>
                <w:szCs w:val="20"/>
                <w:color w:val="auto"/>
              </w:rPr>
            </w:pPr>
            <w:r>
              <w:rPr>
                <w:rFonts w:ascii="Arial" w:cs="Arial" w:eastAsia="Arial" w:hAnsi="Arial"/>
                <w:sz w:val="16"/>
                <w:szCs w:val="16"/>
                <w:color w:val="auto"/>
                <w:w w:val="89"/>
              </w:rPr>
              <w:t>108,882</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center"/>
              <w:ind w:right="34"/>
              <w:spacing w:after="0"/>
              <w:rPr>
                <w:sz w:val="20"/>
                <w:szCs w:val="20"/>
                <w:color w:val="auto"/>
              </w:rPr>
            </w:pPr>
            <w:r>
              <w:rPr>
                <w:rFonts w:ascii="Arial" w:cs="Arial" w:eastAsia="Arial" w:hAnsi="Arial"/>
                <w:sz w:val="16"/>
                <w:szCs w:val="16"/>
                <w:color w:val="auto"/>
                <w:w w:val="89"/>
              </w:rPr>
              <w:t>891,743</w:t>
            </w: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3"/>
              </w:rPr>
              <w:t>758,257</w:t>
            </w:r>
          </w:p>
        </w:tc>
        <w:tc>
          <w:tcPr>
            <w:tcW w:w="100" w:type="dxa"/>
            <w:vAlign w:val="bottom"/>
            <w:tcBorders>
              <w:bottom w:val="single" w:sz="8" w:color="auto"/>
            </w:tcBorders>
            <w:shd w:val="clear" w:color="auto" w:fill="CFF0FC"/>
          </w:tcPr>
          <w:p>
            <w:pPr>
              <w:spacing w:after="0"/>
              <w:rPr>
                <w:sz w:val="17"/>
                <w:szCs w:val="17"/>
                <w:color w:val="auto"/>
              </w:rPr>
            </w:pPr>
          </w:p>
        </w:tc>
      </w:tr>
      <w:tr>
        <w:trPr>
          <w:trHeight w:val="213"/>
        </w:trPr>
        <w:tc>
          <w:tcPr>
            <w:tcW w:w="3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6"/>
                <w:szCs w:val="16"/>
                <w:color w:val="auto"/>
              </w:rPr>
              <w:t>Marc D. Stratton</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3/23/2020</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7"/>
              <w:spacing w:after="0"/>
              <w:rPr>
                <w:sz w:val="20"/>
                <w:szCs w:val="20"/>
                <w:color w:val="auto"/>
              </w:rPr>
            </w:pPr>
            <w:r>
              <w:rPr>
                <w:rFonts w:ascii="Arial" w:cs="Arial" w:eastAsia="Arial" w:hAnsi="Arial"/>
                <w:sz w:val="16"/>
                <w:szCs w:val="16"/>
                <w:color w:val="auto"/>
              </w:rPr>
              <w:t>350,000</w:t>
            </w:r>
          </w:p>
        </w:tc>
        <w:tc>
          <w:tcPr>
            <w:tcW w:w="1080" w:type="dxa"/>
            <w:vAlign w:val="bottom"/>
          </w:tcPr>
          <w:p>
            <w:pPr>
              <w:jc w:val="right"/>
              <w:ind w:right="36"/>
              <w:spacing w:after="0"/>
              <w:rPr>
                <w:sz w:val="20"/>
                <w:szCs w:val="20"/>
                <w:color w:val="auto"/>
              </w:rPr>
            </w:pPr>
            <w:r>
              <w:rPr>
                <w:rFonts w:ascii="Arial" w:cs="Arial" w:eastAsia="Arial" w:hAnsi="Arial"/>
                <w:sz w:val="16"/>
                <w:szCs w:val="16"/>
                <w:color w:val="auto"/>
              </w:rPr>
              <w:t>700,000</w:t>
            </w:r>
          </w:p>
        </w:tc>
        <w:tc>
          <w:tcPr>
            <w:tcW w:w="220" w:type="dxa"/>
            <w:vAlign w:val="bottom"/>
          </w:tcPr>
          <w:p>
            <w:pPr>
              <w:spacing w:after="0"/>
              <w:rPr>
                <w:sz w:val="18"/>
                <w:szCs w:val="18"/>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color w:val="auto"/>
                <w:w w:val="89"/>
              </w:rPr>
              <w:t>25,406</w:t>
            </w:r>
          </w:p>
        </w:tc>
        <w:tc>
          <w:tcPr>
            <w:tcW w:w="2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color w:val="auto"/>
                <w:w w:val="89"/>
              </w:rPr>
              <w:t>208,073</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369,427</w:t>
            </w:r>
          </w:p>
        </w:tc>
        <w:tc>
          <w:tcPr>
            <w:tcW w:w="100" w:type="dxa"/>
            <w:vAlign w:val="bottom"/>
          </w:tcPr>
          <w:p>
            <w:pPr>
              <w:spacing w:after="0"/>
              <w:rPr>
                <w:sz w:val="18"/>
                <w:szCs w:val="18"/>
                <w:color w:val="auto"/>
              </w:rPr>
            </w:pPr>
          </w:p>
        </w:tc>
      </w:tr>
      <w:tr>
        <w:trPr>
          <w:trHeight w:val="222"/>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James Johnston</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9/11/2020</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6"/>
                <w:szCs w:val="16"/>
                <w:color w:val="auto"/>
              </w:rPr>
              <w:t>350,000</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700,000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34"/>
              <w:spacing w:after="0"/>
              <w:rPr>
                <w:sz w:val="20"/>
                <w:szCs w:val="20"/>
                <w:color w:val="auto"/>
              </w:rPr>
            </w:pPr>
            <w:r>
              <w:rPr>
                <w:rFonts w:ascii="Arial" w:cs="Arial" w:eastAsia="Arial" w:hAnsi="Arial"/>
                <w:sz w:val="16"/>
                <w:szCs w:val="16"/>
                <w:color w:val="auto"/>
                <w:w w:val="89"/>
              </w:rPr>
              <w:t>33,333</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right="34"/>
              <w:spacing w:after="0"/>
              <w:rPr>
                <w:sz w:val="20"/>
                <w:szCs w:val="20"/>
                <w:color w:val="auto"/>
              </w:rPr>
            </w:pPr>
            <w:r>
              <w:rPr>
                <w:rFonts w:ascii="Arial" w:cs="Arial" w:eastAsia="Arial" w:hAnsi="Arial"/>
                <w:sz w:val="16"/>
                <w:szCs w:val="16"/>
                <w:color w:val="auto"/>
                <w:w w:val="89"/>
              </w:rPr>
              <w:t>355,000</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800,000</w:t>
            </w:r>
          </w:p>
        </w:tc>
        <w:tc>
          <w:tcPr>
            <w:tcW w:w="100" w:type="dxa"/>
            <w:vAlign w:val="bottom"/>
            <w:shd w:val="clear" w:color="auto" w:fill="CFF0FC"/>
          </w:tcPr>
          <w:p>
            <w:pPr>
              <w:spacing w:after="0"/>
              <w:rPr>
                <w:sz w:val="18"/>
                <w:szCs w:val="18"/>
                <w:color w:val="auto"/>
              </w:rPr>
            </w:pPr>
          </w:p>
        </w:tc>
      </w:tr>
      <w:tr>
        <w:trPr>
          <w:trHeight w:val="222"/>
        </w:trPr>
        <w:tc>
          <w:tcPr>
            <w:tcW w:w="3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6"/>
                <w:szCs w:val="16"/>
                <w:color w:val="auto"/>
              </w:rPr>
              <w:t>Leonard W. Mallett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3/23/2020</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7"/>
              <w:spacing w:after="0"/>
              <w:rPr>
                <w:sz w:val="20"/>
                <w:szCs w:val="20"/>
                <w:color w:val="auto"/>
              </w:rPr>
            </w:pPr>
            <w:r>
              <w:rPr>
                <w:rFonts w:ascii="Arial" w:cs="Arial" w:eastAsia="Arial" w:hAnsi="Arial"/>
                <w:sz w:val="16"/>
                <w:szCs w:val="16"/>
                <w:color w:val="auto"/>
              </w:rPr>
              <w:t>400,000</w:t>
            </w:r>
          </w:p>
        </w:tc>
        <w:tc>
          <w:tcPr>
            <w:tcW w:w="1080" w:type="dxa"/>
            <w:vAlign w:val="bottom"/>
          </w:tcPr>
          <w:p>
            <w:pPr>
              <w:jc w:val="right"/>
              <w:ind w:right="36"/>
              <w:spacing w:after="0"/>
              <w:rPr>
                <w:sz w:val="20"/>
                <w:szCs w:val="20"/>
                <w:color w:val="auto"/>
              </w:rPr>
            </w:pPr>
            <w:r>
              <w:rPr>
                <w:rFonts w:ascii="Arial" w:cs="Arial" w:eastAsia="Arial" w:hAnsi="Arial"/>
                <w:sz w:val="16"/>
                <w:szCs w:val="16"/>
                <w:color w:val="auto"/>
              </w:rPr>
              <w:t>800,000</w:t>
            </w:r>
          </w:p>
        </w:tc>
        <w:tc>
          <w:tcPr>
            <w:tcW w:w="220" w:type="dxa"/>
            <w:vAlign w:val="bottom"/>
          </w:tcPr>
          <w:p>
            <w:pPr>
              <w:spacing w:after="0"/>
              <w:rPr>
                <w:sz w:val="18"/>
                <w:szCs w:val="18"/>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color w:val="auto"/>
                <w:w w:val="89"/>
              </w:rPr>
              <w:t>29,038</w:t>
            </w:r>
          </w:p>
        </w:tc>
        <w:tc>
          <w:tcPr>
            <w:tcW w:w="2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color w:val="auto"/>
                <w:w w:val="89"/>
              </w:rPr>
              <w:t>237,798</w:t>
            </w:r>
          </w:p>
        </w:tc>
        <w:tc>
          <w:tcPr>
            <w:tcW w:w="2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422,202</w:t>
            </w:r>
          </w:p>
        </w:tc>
        <w:tc>
          <w:tcPr>
            <w:tcW w:w="100" w:type="dxa"/>
            <w:vAlign w:val="bottom"/>
          </w:tcPr>
          <w:p>
            <w:pPr>
              <w:spacing w:after="0"/>
              <w:rPr>
                <w:sz w:val="18"/>
                <w:szCs w:val="18"/>
                <w:color w:val="auto"/>
              </w:rPr>
            </w:pPr>
          </w:p>
        </w:tc>
      </w:tr>
      <w:tr>
        <w:trPr>
          <w:trHeight w:val="222"/>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56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Louise E. Matthews </w:t>
            </w:r>
            <w:r>
              <w:rPr>
                <w:rFonts w:ascii="Arial" w:cs="Arial" w:eastAsia="Arial" w:hAnsi="Arial"/>
                <w:sz w:val="25"/>
                <w:szCs w:val="25"/>
                <w:color w:val="auto"/>
                <w:vertAlign w:val="superscript"/>
              </w:rPr>
              <w:t>(5)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6"/>
                <w:szCs w:val="16"/>
                <w:color w:val="auto"/>
              </w:rPr>
              <w:t>300,000</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ind w:left="9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800" w:right="200" w:hanging="401"/>
        <w:spacing w:after="0" w:line="238" w:lineRule="auto"/>
        <w:tabs>
          <w:tab w:leader="none" w:pos="8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annual incentive opportunities that may be awarded pursuant to the Partnership’s annual incentive program for the year ended December 31, 2020 with payment based upon the Partnership’s achievement of pre-established performance goals and other factors. For additional information, please see "Components of Executive Compensation— Annual Incentive Compensation" above.</w:t>
      </w:r>
    </w:p>
    <w:p>
      <w:pPr>
        <w:spacing w:after="0" w:line="74" w:lineRule="exact"/>
        <w:rPr>
          <w:rFonts w:ascii="Arial" w:cs="Arial" w:eastAsia="Arial" w:hAnsi="Arial"/>
          <w:sz w:val="14"/>
          <w:szCs w:val="14"/>
          <w:color w:val="auto"/>
        </w:rPr>
      </w:pPr>
    </w:p>
    <w:p>
      <w:pPr>
        <w:ind w:left="800" w:right="280" w:hanging="401"/>
        <w:spacing w:after="0" w:line="253" w:lineRule="auto"/>
        <w:tabs>
          <w:tab w:leader="none" w:pos="8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grants of phantom units with distribution equivalent rights under the SMLP LTIP. For additional information, please see "Components of Executive Compensation— Long-Term Equity-Based Compensation Awards"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p>
      <w:pPr>
        <w:ind w:left="800" w:right="20" w:hanging="401"/>
        <w:spacing w:after="0" w:line="253" w:lineRule="auto"/>
        <w:tabs>
          <w:tab w:leader="none" w:pos="8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Amounts shown represent the fair value of the award on the date of the grant, in accordance with FASB ASC Topic 718. For the assumptions made in valuing these awards, see Note 13 to the consolidated financial statements.</w:t>
      </w:r>
    </w:p>
    <w:p>
      <w:pPr>
        <w:spacing w:after="0" w:line="65" w:lineRule="exact"/>
        <w:rPr>
          <w:rFonts w:ascii="Arial" w:cs="Arial" w:eastAsia="Arial" w:hAnsi="Arial"/>
          <w:sz w:val="14"/>
          <w:szCs w:val="14"/>
          <w:color w:val="auto"/>
        </w:rPr>
      </w:pPr>
    </w:p>
    <w:p>
      <w:pPr>
        <w:ind w:left="800" w:hanging="401"/>
        <w:spacing w:after="0"/>
        <w:tabs>
          <w:tab w:leader="none" w:pos="8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Amount shown represent the dollar-denominated cash amount of the LTIP grant award.</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Ms. Matthews’ employment terminated on April 1, 2020. Ms. Mathews received no grants of phantom unit awards in 2020.</w:t>
      </w:r>
    </w:p>
    <w:p>
      <w:pPr>
        <w:spacing w:after="0" w:line="10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 xml:space="preserve">Narrative Disclosure to the Summary Compensation Table and Grants of the Plan-Based Awards Table. </w:t>
      </w:r>
      <w:r>
        <w:rPr>
          <w:rFonts w:ascii="Arial" w:cs="Arial" w:eastAsia="Arial" w:hAnsi="Arial"/>
          <w:sz w:val="18"/>
          <w:szCs w:val="18"/>
          <w:color w:val="auto"/>
        </w:rPr>
        <w:t>A description of material factors necessary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the information disclosed in the tables above with respect to salaries, bonuses, equity awards, non-equity incentive plan compensation and all other compensation can be found in the CD&amp;A that precedes these tables.</w:t>
      </w:r>
    </w:p>
    <w:p>
      <w:pPr>
        <w:spacing w:after="0" w:line="76"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i w:val="1"/>
          <w:iCs w:val="1"/>
          <w:color w:val="auto"/>
        </w:rPr>
        <w:t xml:space="preserve">Outstanding Equity Awards at December 31, 2020. </w:t>
      </w:r>
      <w:r>
        <w:rPr>
          <w:rFonts w:ascii="Arial" w:cs="Arial" w:eastAsia="Arial" w:hAnsi="Arial"/>
          <w:sz w:val="18"/>
          <w:szCs w:val="18"/>
          <w:color w:val="auto"/>
        </w:rPr>
        <w:t>The following table presents information regarding the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NEOs at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tcBorders>
              <w:bottom w:val="single" w:sz="8" w:color="auto"/>
            </w:tcBorders>
            <w:gridSpan w:val="3"/>
          </w:tcPr>
          <w:p>
            <w:pPr>
              <w:jc w:val="right"/>
              <w:ind w:right="1250"/>
              <w:spacing w:after="0"/>
              <w:rPr>
                <w:sz w:val="20"/>
                <w:szCs w:val="20"/>
                <w:color w:val="auto"/>
              </w:rPr>
            </w:pPr>
            <w:r>
              <w:rPr>
                <w:rFonts w:ascii="Arial" w:cs="Arial" w:eastAsia="Arial" w:hAnsi="Arial"/>
                <w:sz w:val="18"/>
                <w:szCs w:val="18"/>
                <w:b w:val="1"/>
                <w:bCs w:val="1"/>
                <w:color w:val="auto"/>
              </w:rPr>
              <w:t>Unit Awards</w:t>
            </w:r>
          </w:p>
        </w:tc>
        <w:tc>
          <w:tcPr>
            <w:tcW w:w="280" w:type="dxa"/>
            <w:vAlign w:val="bottom"/>
          </w:tcPr>
          <w:p>
            <w:pPr>
              <w:spacing w:after="0"/>
              <w:rPr>
                <w:sz w:val="20"/>
                <w:szCs w:val="20"/>
                <w:color w:val="auto"/>
              </w:rPr>
            </w:pPr>
          </w:p>
        </w:tc>
        <w:tc>
          <w:tcPr>
            <w:tcW w:w="16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Cash Awards</w:t>
            </w:r>
          </w:p>
        </w:tc>
      </w:tr>
      <w:tr>
        <w:trPr>
          <w:trHeight w:val="205"/>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4"/>
              </w:rPr>
              <w:t>Market Value of</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Unearned Phantom</w:t>
            </w: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Unearned Phantom</w:t>
            </w:r>
          </w:p>
        </w:tc>
        <w:tc>
          <w:tcPr>
            <w:tcW w:w="28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Unearned Cash</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Units That Have</w:t>
            </w: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Units That Have</w:t>
            </w:r>
          </w:p>
        </w:tc>
        <w:tc>
          <w:tcPr>
            <w:tcW w:w="28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Awards That Have</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1920" w:type="dxa"/>
            <w:vAlign w:val="bottom"/>
            <w:gridSpan w:val="2"/>
          </w:tcPr>
          <w:p>
            <w:pPr>
              <w:ind w:left="380"/>
              <w:spacing w:after="0"/>
              <w:rPr>
                <w:sz w:val="20"/>
                <w:szCs w:val="20"/>
                <w:color w:val="auto"/>
              </w:rPr>
            </w:pPr>
            <w:r>
              <w:rPr>
                <w:rFonts w:ascii="Arial" w:cs="Arial" w:eastAsia="Arial" w:hAnsi="Arial"/>
                <w:sz w:val="18"/>
                <w:szCs w:val="18"/>
                <w:b w:val="1"/>
                <w:bCs w:val="1"/>
                <w:color w:val="auto"/>
              </w:rPr>
              <w:t>Grant Date</w:t>
            </w: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 xml:space="preserve">Not Vested (#) </w:t>
            </w:r>
            <w:r>
              <w:rPr>
                <w:rFonts w:ascii="Arial" w:cs="Arial" w:eastAsia="Arial" w:hAnsi="Arial"/>
                <w:sz w:val="15"/>
                <w:szCs w:val="15"/>
                <w:b w:val="1"/>
                <w:bCs w:val="1"/>
                <w:color w:val="auto"/>
                <w:w w:val="90"/>
              </w:rPr>
              <w:t>(2)</w:t>
            </w: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 xml:space="preserve">Not Vested ($) </w:t>
            </w:r>
            <w:r>
              <w:rPr>
                <w:rFonts w:ascii="Arial" w:cs="Arial" w:eastAsia="Arial" w:hAnsi="Arial"/>
                <w:sz w:val="15"/>
                <w:szCs w:val="15"/>
                <w:b w:val="1"/>
                <w:bCs w:val="1"/>
                <w:color w:val="auto"/>
                <w:w w:val="90"/>
              </w:rPr>
              <w:t>(3)</w:t>
            </w:r>
          </w:p>
        </w:tc>
        <w:tc>
          <w:tcPr>
            <w:tcW w:w="280" w:type="dxa"/>
            <w:vAlign w:val="bottom"/>
          </w:tcPr>
          <w:p>
            <w:pPr>
              <w:spacing w:after="0"/>
              <w:rPr>
                <w:sz w:val="20"/>
                <w:szCs w:val="20"/>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 xml:space="preserve">Not Vested </w:t>
            </w:r>
            <w:r>
              <w:rPr>
                <w:rFonts w:ascii="Arial" w:cs="Arial" w:eastAsia="Arial" w:hAnsi="Arial"/>
                <w:sz w:val="15"/>
                <w:szCs w:val="15"/>
                <w:b w:val="1"/>
                <w:bCs w:val="1"/>
                <w:color w:val="auto"/>
                <w:w w:val="91"/>
              </w:rPr>
              <w:t>(4)</w:t>
            </w:r>
            <w:r>
              <w:rPr>
                <w:rFonts w:ascii="Arial" w:cs="Arial" w:eastAsia="Arial" w:hAnsi="Arial"/>
                <w:sz w:val="18"/>
                <w:szCs w:val="18"/>
                <w:b w:val="1"/>
                <w:bCs w:val="1"/>
                <w:color w:val="auto"/>
                <w:w w:val="91"/>
              </w:rPr>
              <w:t xml:space="preserve"> ($)</w:t>
            </w: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26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3/23/2020</w:t>
            </w:r>
          </w:p>
        </w:tc>
        <w:tc>
          <w:tcPr>
            <w:tcW w:w="28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108,882</w:t>
            </w:r>
          </w:p>
        </w:tc>
        <w:tc>
          <w:tcPr>
            <w:tcW w:w="26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1,359,935</w:t>
            </w:r>
          </w:p>
        </w:tc>
        <w:tc>
          <w:tcPr>
            <w:tcW w:w="1940" w:type="dxa"/>
            <w:vAlign w:val="bottom"/>
            <w:tcBorders>
              <w:top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758,257</w:t>
            </w:r>
          </w:p>
        </w:tc>
      </w:tr>
      <w:tr>
        <w:trPr>
          <w:trHeight w:val="229"/>
        </w:trPr>
        <w:tc>
          <w:tcPr>
            <w:tcW w:w="35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9"/>
              </w:rPr>
              <w:t>9/16/2019</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34,320</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428,657</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 xml:space="preserve">Marc D. Stratton </w:t>
            </w:r>
            <w:r>
              <w:rPr>
                <w:rFonts w:ascii="Arial" w:cs="Arial" w:eastAsia="Arial" w:hAnsi="Arial"/>
                <w:sz w:val="15"/>
                <w:szCs w:val="15"/>
                <w:color w:val="auto"/>
              </w:rPr>
              <w:t>(5)</w:t>
            </w:r>
          </w:p>
        </w:tc>
        <w:tc>
          <w:tcPr>
            <w:tcW w:w="19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3/23/2020</w:t>
            </w:r>
          </w:p>
        </w:tc>
        <w:tc>
          <w:tcPr>
            <w:tcW w:w="2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25,406</w:t>
            </w:r>
          </w:p>
        </w:tc>
        <w:tc>
          <w:tcPr>
            <w:tcW w:w="2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317,321</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369,427</w:t>
            </w:r>
          </w:p>
        </w:tc>
      </w:tr>
      <w:tr>
        <w:trPr>
          <w:trHeight w:val="229"/>
        </w:trPr>
        <w:tc>
          <w:tcPr>
            <w:tcW w:w="3580" w:type="dxa"/>
            <w:vAlign w:val="bottom"/>
          </w:tcPr>
          <w:p>
            <w:pPr>
              <w:spacing w:after="0"/>
              <w:rPr>
                <w:sz w:val="19"/>
                <w:szCs w:val="19"/>
                <w:color w:val="auto"/>
              </w:rPr>
            </w:pPr>
          </w:p>
        </w:tc>
        <w:tc>
          <w:tcPr>
            <w:tcW w:w="190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11/15/2019</w:t>
            </w:r>
          </w:p>
        </w:tc>
        <w:tc>
          <w:tcPr>
            <w:tcW w:w="2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3,333</w:t>
            </w:r>
          </w:p>
        </w:tc>
        <w:tc>
          <w:tcPr>
            <w:tcW w:w="2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41,629</w:t>
            </w:r>
          </w:p>
        </w:tc>
        <w:tc>
          <w:tcPr>
            <w:tcW w:w="2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Pr>
          <w:p>
            <w:pPr>
              <w:spacing w:after="0"/>
              <w:rPr>
                <w:sz w:val="19"/>
                <w:szCs w:val="19"/>
                <w:color w:val="auto"/>
              </w:rPr>
            </w:pPr>
          </w:p>
        </w:tc>
        <w:tc>
          <w:tcPr>
            <w:tcW w:w="19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3/15/2019</w:t>
            </w:r>
          </w:p>
        </w:tc>
        <w:tc>
          <w:tcPr>
            <w:tcW w:w="2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2,613</w:t>
            </w:r>
          </w:p>
        </w:tc>
        <w:tc>
          <w:tcPr>
            <w:tcW w:w="2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32,636</w:t>
            </w:r>
          </w:p>
        </w:tc>
        <w:tc>
          <w:tcPr>
            <w:tcW w:w="2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p>
        </w:tc>
        <w:tc>
          <w:tcPr>
            <w:tcW w:w="19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3/15/2018</w:t>
            </w:r>
          </w:p>
        </w:tc>
        <w:tc>
          <w:tcPr>
            <w:tcW w:w="2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4,097</w:t>
            </w:r>
          </w:p>
        </w:tc>
        <w:tc>
          <w:tcPr>
            <w:tcW w:w="28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(6)</w:t>
            </w:r>
          </w:p>
        </w:tc>
        <w:tc>
          <w:tcPr>
            <w:tcW w:w="19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9"/>
              </w:rPr>
              <w:t>9/11/2020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416,333</w:t>
            </w:r>
          </w:p>
        </w:tc>
        <w:tc>
          <w:tcPr>
            <w:tcW w:w="1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800,000</w:t>
            </w:r>
          </w:p>
        </w:tc>
      </w:tr>
    </w:tbl>
    <w:p>
      <w:pPr>
        <w:spacing w:after="0" w:line="89" w:lineRule="exact"/>
        <w:rPr>
          <w:sz w:val="20"/>
          <w:szCs w:val="20"/>
          <w:color w:val="auto"/>
        </w:rPr>
      </w:pPr>
    </w:p>
    <w:p>
      <w:pPr>
        <w:ind w:left="800" w:right="80" w:hanging="401"/>
        <w:spacing w:after="0" w:line="253" w:lineRule="auto"/>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Ms. Mathews is omitted from this table because her outstanding equity awards vested upon her termination effective April 1, 2020. Mr. Mallet is omitted from this table because his outstanding equity awards vested upon his termination effective October 31, 2020.</w:t>
      </w:r>
    </w:p>
    <w:p>
      <w:pPr>
        <w:spacing w:after="0" w:line="65" w:lineRule="exact"/>
        <w:rPr>
          <w:rFonts w:ascii="Arial" w:cs="Arial" w:eastAsia="Arial" w:hAnsi="Arial"/>
          <w:sz w:val="14"/>
          <w:szCs w:val="14"/>
          <w:color w:val="auto"/>
        </w:rPr>
      </w:pPr>
    </w:p>
    <w:p>
      <w:pPr>
        <w:ind w:left="800" w:right="240" w:hanging="401"/>
        <w:spacing w:after="0" w:line="233" w:lineRule="auto"/>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Except in the case of Mr. Johnston, as noted below, phantom units granted to the NEOs vest ratably over a three-year period with the first tranche scheduled to vest on the first anniversary of the grant date, subject to continued employment, and accelerated vesting as provided in the applicable award agreement. The NEOs also receive distribution equivalent rights for each phantom unit, if applicable, providing for a lump sum payment equal to any accrued distributions from the grant date of the phantom units to be paid in cash upon the vesting date.</w:t>
      </w:r>
    </w:p>
    <w:p>
      <w:pPr>
        <w:spacing w:after="0" w:line="76" w:lineRule="exact"/>
        <w:rPr>
          <w:rFonts w:ascii="Arial" w:cs="Arial" w:eastAsia="Arial" w:hAnsi="Arial"/>
          <w:sz w:val="14"/>
          <w:szCs w:val="14"/>
          <w:color w:val="auto"/>
        </w:rPr>
      </w:pPr>
    </w:p>
    <w:p>
      <w:pPr>
        <w:ind w:left="800" w:hanging="401"/>
        <w:spacing w:after="0"/>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Amounts were calculated using the closing price of SMLP's publicly traded common units on December 31, 2020.</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Amounts shown represent the dollar-denominated cash amount of the SMLP LTIP grant award.</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Phantom units granted on November 15, 2019, vest in their entirety on the third anniversary of the grant date.</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One half of the phantom units and cash awards granted on September 11, 2020 vest on March 31, 2021 and the other half vests on March 31, 2022</w:t>
      </w:r>
    </w:p>
    <w:p>
      <w:pPr>
        <w:spacing w:after="0" w:line="10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b w:val="1"/>
          <w:bCs w:val="1"/>
          <w:i w:val="1"/>
          <w:iCs w:val="1"/>
          <w:color w:val="auto"/>
        </w:rPr>
        <w:t xml:space="preserve">Phantom Units and Cash Awards Vested. </w:t>
      </w:r>
      <w:r>
        <w:rPr>
          <w:rFonts w:ascii="Arial" w:cs="Arial" w:eastAsia="Arial" w:hAnsi="Arial"/>
          <w:sz w:val="18"/>
          <w:szCs w:val="18"/>
          <w:color w:val="auto"/>
        </w:rPr>
        <w:t>The following table represents information regarding the vesting of phantom units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with respect to the Partnership’s NEOs.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4"/>
          </w:tcPr>
          <w:p>
            <w:pPr>
              <w:ind w:left="1160"/>
              <w:spacing w:after="0"/>
              <w:rPr>
                <w:sz w:val="20"/>
                <w:szCs w:val="20"/>
                <w:color w:val="auto"/>
              </w:rPr>
            </w:pPr>
            <w:r>
              <w:rPr>
                <w:rFonts w:ascii="Arial" w:cs="Arial" w:eastAsia="Arial" w:hAnsi="Arial"/>
                <w:sz w:val="18"/>
                <w:szCs w:val="18"/>
                <w:b w:val="1"/>
                <w:bCs w:val="1"/>
                <w:color w:val="auto"/>
              </w:rPr>
              <w:t>Phantom Unit</w:t>
            </w: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Cash Award</w:t>
            </w:r>
          </w:p>
        </w:tc>
      </w:tr>
      <w:tr>
        <w:trPr>
          <w:trHeight w:val="205"/>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Phantom</w:t>
            </w: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Value Realized on</w:t>
            </w: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Vesting</w:t>
            </w: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Units Vested (#) (1)</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Vesting ($) (1)</w:t>
            </w: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r>
      <w:tr>
        <w:trPr>
          <w:trHeight w:val="223"/>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Heath Deneke </w:t>
            </w:r>
            <w:r>
              <w:rPr>
                <w:rFonts w:ascii="Arial" w:cs="Arial" w:eastAsia="Arial" w:hAnsi="Arial"/>
                <w:sz w:val="15"/>
                <w:szCs w:val="15"/>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17,160</w:t>
            </w:r>
          </w:p>
        </w:tc>
        <w:tc>
          <w:tcPr>
            <w:tcW w:w="1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184,041</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 xml:space="preserve">Marc D. Stratton </w:t>
            </w:r>
            <w:r>
              <w:rPr>
                <w:rFonts w:ascii="Arial" w:cs="Arial" w:eastAsia="Arial" w:hAnsi="Arial"/>
                <w:sz w:val="15"/>
                <w:szCs w:val="15"/>
                <w:color w:val="auto"/>
              </w:rPr>
              <w:t>(2)</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1,842</w:t>
            </w: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37,020</w:t>
            </w:r>
          </w:p>
        </w:tc>
        <w:tc>
          <w:tcPr>
            <w:tcW w:w="1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Johnston</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(3)</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39,312</w:t>
            </w:r>
          </w:p>
        </w:tc>
        <w:tc>
          <w:tcPr>
            <w:tcW w:w="1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439,618</w:t>
            </w:r>
          </w:p>
        </w:tc>
        <w:tc>
          <w:tcPr>
            <w:tcW w:w="1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422,202</w:t>
            </w:r>
          </w:p>
        </w:tc>
      </w:tr>
      <w:tr>
        <w:trPr>
          <w:trHeight w:val="230"/>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Louise E. Matthews </w:t>
            </w:r>
            <w:r>
              <w:rPr>
                <w:rFonts w:ascii="Arial" w:cs="Arial" w:eastAsia="Arial" w:hAnsi="Arial"/>
                <w:sz w:val="15"/>
                <w:szCs w:val="15"/>
                <w:color w:val="auto"/>
              </w:rPr>
              <w:t>(4)</w:t>
            </w: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7,566</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87,258</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800" w:right="20" w:hanging="401"/>
        <w:spacing w:after="0" w:line="238" w:lineRule="auto"/>
        <w:tabs>
          <w:tab w:leader="none" w:pos="8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Mr. Deneke’s amounts represent the number and value of the phantom units that vested on September 16, 2020, plus the distribution equivalent rights earned in tandem. The value of the phantom units that vested was calculated using the closing price of SMLP’s publicly traded common units as of September 15, 2020, the trading day immediately prior to vesting.</w:t>
      </w:r>
    </w:p>
    <w:p>
      <w:pPr>
        <w:spacing w:after="0" w:line="74" w:lineRule="exact"/>
        <w:rPr>
          <w:rFonts w:ascii="Arial" w:cs="Arial" w:eastAsia="Arial" w:hAnsi="Arial"/>
          <w:sz w:val="14"/>
          <w:szCs w:val="14"/>
          <w:color w:val="auto"/>
        </w:rPr>
      </w:pPr>
    </w:p>
    <w:p>
      <w:pPr>
        <w:ind w:left="800" w:right="120" w:hanging="401"/>
        <w:spacing w:after="0" w:line="290" w:lineRule="auto"/>
        <w:tabs>
          <w:tab w:leader="none" w:pos="8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Mr. Stratton amounts represent the number and value of the phantom units that vested on March 16, 2020, plus the distribution equivalent rights earned in tandem. The value of the phantom units that vested was calculated using the closing price of SMLP’s publicly traded common units as of March 13, 2020, the trading day prior to vesting.</w:t>
      </w:r>
    </w:p>
    <w:p>
      <w:pPr>
        <w:spacing w:after="0" w:line="43" w:lineRule="exact"/>
        <w:rPr>
          <w:rFonts w:ascii="Arial" w:cs="Arial" w:eastAsia="Arial" w:hAnsi="Arial"/>
          <w:sz w:val="13"/>
          <w:szCs w:val="13"/>
          <w:color w:val="auto"/>
        </w:rPr>
      </w:pPr>
    </w:p>
    <w:p>
      <w:pPr>
        <w:jc w:val="both"/>
        <w:ind w:left="800" w:right="60" w:hanging="401"/>
        <w:spacing w:after="0" w:line="238" w:lineRule="auto"/>
        <w:tabs>
          <w:tab w:leader="none" w:pos="8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Mr. Mallett’s amounts represent the number and value of the phantom units that vested on March 16, 2020 plus the distribution equivalent rights earned in tandem. The value of the phantom units that vested on March 16, 2020 was calculated using the closing price of SMLP’s publicly traded common units as of March 13, 2020, the trading day prior to vesting. In addition, the amount includes amounts for the phantom units and cash awards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p>
      <w:pPr>
        <w:ind w:left="800"/>
        <w:spacing w:after="0" w:line="253" w:lineRule="auto"/>
        <w:rPr>
          <w:sz w:val="20"/>
          <w:szCs w:val="20"/>
          <w:color w:val="auto"/>
        </w:rPr>
      </w:pPr>
      <w:r>
        <w:rPr>
          <w:rFonts w:ascii="Arial" w:cs="Arial" w:eastAsia="Arial" w:hAnsi="Arial"/>
          <w:sz w:val="14"/>
          <w:szCs w:val="14"/>
          <w:color w:val="auto"/>
        </w:rPr>
        <w:t>that vested upon his termination effective October 31, 2020, plus the distribution equivalent rights earned in tandem. The value of Mr. Mallett’s phantom units that vested on October 31, 2020 was calculated using the closing price of SMLP’s units as of October 30, 2020, the trading day immediately prior to vesting.</w:t>
      </w:r>
    </w:p>
    <w:p>
      <w:pPr>
        <w:spacing w:after="0" w:line="66" w:lineRule="exact"/>
        <w:rPr>
          <w:sz w:val="20"/>
          <w:szCs w:val="20"/>
          <w:color w:val="auto"/>
        </w:rPr>
      </w:pPr>
    </w:p>
    <w:p>
      <w:pPr>
        <w:ind w:left="800" w:right="40" w:hanging="401"/>
        <w:spacing w:after="0" w:line="233" w:lineRule="auto"/>
        <w:tabs>
          <w:tab w:leader="none" w:pos="8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Ms. Mathews' amounts represent the number and value of the phantom units that vested on March 16, 2020 and upon her termination effective April 1, 2020, plus the distribution equivalent rights earned in tandem. The value of the phantom units that vested on March 16, 2020 was calculated using the closing price of SMLP's publicly traded common units as of March 13, 2020, the trading day prior to vesting. The value of Ms. Matthews' phantom units that vested on April 1, 2020 was calculated using the closing price of SMLP’s units as of March 31, 2020, the trading day immediately prior to vesting.</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Pension Benefits. </w:t>
      </w:r>
      <w:r>
        <w:rPr>
          <w:rFonts w:ascii="Arial" w:cs="Arial" w:eastAsia="Arial" w:hAnsi="Arial"/>
          <w:sz w:val="18"/>
          <w:szCs w:val="18"/>
          <w:color w:val="auto"/>
        </w:rPr>
        <w:t>Currently, the Partnership does not sponsor or maintain a pension or defined benefit program for its NEOs. This policy may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 xml:space="preserve">Nonqualified Deferred Compensation Table for 2020. </w:t>
      </w:r>
      <w:r>
        <w:rPr>
          <w:rFonts w:ascii="Arial" w:cs="Arial" w:eastAsia="Arial" w:hAnsi="Arial"/>
          <w:sz w:val="16"/>
          <w:szCs w:val="16"/>
          <w:color w:val="auto"/>
        </w:rPr>
        <w:t>Effective May 28, 2020, the Deferred Compensation was terminated resulting in payment of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remaining amounts deferred thereunder to participants or their designated beneficiaries, as applicable, in a single lump sum payment.</w:t>
      </w:r>
    </w:p>
    <w:p>
      <w:pPr>
        <w:spacing w:after="0" w:line="1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 xml:space="preserve">Potential Payments upon Termination or Change in Control. </w:t>
      </w:r>
      <w:r>
        <w:rPr>
          <w:rFonts w:ascii="Arial" w:cs="Arial" w:eastAsia="Arial" w:hAnsi="Arial"/>
          <w:sz w:val="16"/>
          <w:szCs w:val="16"/>
          <w:color w:val="auto"/>
        </w:rPr>
        <w:t>The following table sets forth information concerning potential amounts payable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upon termination of employment under various circumstances, and upon a change in control, if such event took place on December 31,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Acceleration</w:t>
            </w:r>
          </w:p>
        </w:tc>
        <w:tc>
          <w:tcPr>
            <w:tcW w:w="740" w:type="dxa"/>
            <w:vAlign w:val="bottom"/>
          </w:tcPr>
          <w:p>
            <w:pPr>
              <w:spacing w:after="0"/>
              <w:rPr>
                <w:sz w:val="13"/>
                <w:szCs w:val="13"/>
                <w:color w:val="auto"/>
              </w:rPr>
            </w:pP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Bonus ($)</w:t>
            </w:r>
          </w:p>
        </w:tc>
        <w:tc>
          <w:tcPr>
            <w:tcW w:w="10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Pro-Rata</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Health</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of Unvested</w:t>
            </w:r>
          </w:p>
        </w:tc>
        <w:tc>
          <w:tcPr>
            <w:tcW w:w="740" w:type="dxa"/>
            <w:vAlign w:val="bottom"/>
          </w:tcPr>
          <w:p>
            <w:pPr>
              <w:spacing w:after="0"/>
              <w:rPr>
                <w:sz w:val="11"/>
                <w:szCs w:val="11"/>
                <w:color w:val="auto"/>
              </w:rPr>
            </w:pPr>
          </w:p>
        </w:tc>
      </w:tr>
      <w:tr>
        <w:trPr>
          <w:trHeight w:val="153"/>
        </w:trPr>
        <w:tc>
          <w:tcPr>
            <w:tcW w:w="412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Pr>
          <w:p>
            <w:pPr>
              <w:spacing w:after="0"/>
              <w:rPr>
                <w:sz w:val="13"/>
                <w:szCs w:val="13"/>
                <w:color w:val="auto"/>
              </w:rPr>
            </w:pPr>
          </w:p>
        </w:tc>
        <w:tc>
          <w:tcPr>
            <w:tcW w:w="1440" w:type="dxa"/>
            <w:vAlign w:val="bottom"/>
          </w:tcPr>
          <w:p>
            <w:pPr>
              <w:ind w:left="260"/>
              <w:spacing w:after="0"/>
              <w:rPr>
                <w:sz w:val="20"/>
                <w:szCs w:val="20"/>
                <w:color w:val="auto"/>
              </w:rPr>
            </w:pPr>
            <w:r>
              <w:rPr>
                <w:rFonts w:ascii="Arial" w:cs="Arial" w:eastAsia="Arial" w:hAnsi="Arial"/>
                <w:sz w:val="13"/>
                <w:szCs w:val="13"/>
                <w:b w:val="1"/>
                <w:bCs w:val="1"/>
                <w:color w:val="auto"/>
              </w:rPr>
              <w:t>Triggering Event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5"/>
              </w:rPr>
              <w:t>Salary ($)</w:t>
            </w:r>
          </w:p>
        </w:tc>
        <w:tc>
          <w:tcPr>
            <w:tcW w:w="96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Bonus ($)</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Benefits ($)</w:t>
            </w: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Equity ($) (2)</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 ($)</w:t>
            </w:r>
          </w:p>
        </w:tc>
      </w:tr>
      <w:tr>
        <w:trPr>
          <w:trHeight w:val="142"/>
        </w:trPr>
        <w:tc>
          <w:tcPr>
            <w:tcW w:w="412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Heath Deneke</w:t>
            </w:r>
          </w:p>
        </w:tc>
        <w:tc>
          <w:tcPr>
            <w:tcW w:w="120" w:type="dxa"/>
            <w:vAlign w:val="bottom"/>
            <w:tcBorders>
              <w:top w:val="single" w:sz="8" w:color="CFF0FC"/>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r>
      <w:tr>
        <w:trPr>
          <w:trHeight w:val="134"/>
        </w:trPr>
        <w:tc>
          <w:tcPr>
            <w:tcW w:w="41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President and Chief Executive Officer </w:t>
            </w:r>
            <w:r>
              <w:rPr>
                <w:rFonts w:ascii="Arial" w:cs="Arial" w:eastAsia="Arial" w:hAnsi="Arial"/>
                <w:sz w:val="10"/>
                <w:szCs w:val="10"/>
                <w:color w:val="auto"/>
              </w:rPr>
              <w:t>(3)</w:t>
            </w: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Termination by Reason of</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900,000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2,546,849</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3,466,190</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Death or Disability</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8"/>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w w:val="90"/>
              </w:rPr>
              <w:t>Termination Without Cause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9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2,250,000</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900,000</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2,546,849</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7,216,190</w:t>
            </w: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Resignation for Good</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960" w:type="dxa"/>
            <w:vAlign w:val="bottom"/>
            <w:gridSpan w:val="3"/>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2,250,000</w:t>
            </w: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900,000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2,546,849</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7,216,190</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Reason</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Nonextension of Term by</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960" w:type="dxa"/>
            <w:vAlign w:val="bottom"/>
            <w:gridSpan w:val="3"/>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2,250,000</w:t>
            </w: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900,000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2,546,849</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7,216,190</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Partnership</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Nonextension of Term by</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960" w:type="dxa"/>
            <w:vAlign w:val="bottom"/>
            <w:gridSpan w:val="3"/>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2,250,000</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4"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3,769,341</w:t>
            </w:r>
          </w:p>
        </w:tc>
      </w:tr>
      <w:tr>
        <w:trPr>
          <w:trHeight w:val="135"/>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Executive, Partnership</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Exercises Noncompete</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297"/>
        </w:trPr>
        <w:tc>
          <w:tcPr>
            <w:tcW w:w="4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Change in Control (4)</w:t>
            </w: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2,546,849</w:t>
            </w: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2,546,849</w:t>
            </w:r>
          </w:p>
        </w:tc>
      </w:tr>
      <w:tr>
        <w:trPr>
          <w:trHeight w:val="148"/>
        </w:trPr>
        <w:tc>
          <w:tcPr>
            <w:tcW w:w="4120" w:type="dxa"/>
            <w:vAlign w:val="bottom"/>
          </w:tcPr>
          <w:p>
            <w:pPr>
              <w:spacing w:after="0" w:line="148" w:lineRule="exact"/>
              <w:rPr>
                <w:sz w:val="20"/>
                <w:szCs w:val="20"/>
                <w:color w:val="auto"/>
              </w:rPr>
            </w:pPr>
            <w:r>
              <w:rPr>
                <w:rFonts w:ascii="Arial" w:cs="Arial" w:eastAsia="Arial" w:hAnsi="Arial"/>
                <w:sz w:val="13"/>
                <w:szCs w:val="13"/>
                <w:color w:val="auto"/>
              </w:rPr>
              <w:t>Marc D. Stratton</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 xml:space="preserve">Executive Vice President and Chief Financial Officer </w:t>
            </w:r>
            <w:r>
              <w:rPr>
                <w:rFonts w:ascii="Arial" w:cs="Arial" w:eastAsia="Arial" w:hAnsi="Arial"/>
                <w:sz w:val="10"/>
                <w:szCs w:val="10"/>
                <w:color w:val="auto"/>
              </w:rPr>
              <w:t>(5)</w:t>
            </w:r>
          </w:p>
        </w:tc>
        <w:tc>
          <w:tcPr>
            <w:tcW w:w="156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5"/>
              </w:rPr>
              <w:t>Termination by Reason of</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19,341</w:t>
            </w:r>
          </w:p>
        </w:tc>
        <w:tc>
          <w:tcPr>
            <w:tcW w:w="12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765,110</w:t>
            </w:r>
          </w:p>
        </w:tc>
        <w:tc>
          <w:tcPr>
            <w:tcW w:w="1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1,134,451</w:t>
            </w:r>
          </w:p>
        </w:tc>
      </w:tr>
      <w:tr>
        <w:trPr>
          <w:trHeight w:val="148"/>
        </w:trPr>
        <w:tc>
          <w:tcPr>
            <w:tcW w:w="412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Death or Disability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w w:val="90"/>
              </w:rPr>
              <w:t>Termination Without Cause</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525,000</w:t>
            </w:r>
          </w:p>
        </w:tc>
        <w:tc>
          <w:tcPr>
            <w:tcW w:w="960" w:type="dxa"/>
            <w:vAlign w:val="bottom"/>
            <w:gridSpan w:val="3"/>
          </w:tcPr>
          <w:p>
            <w:pPr>
              <w:jc w:val="right"/>
              <w:ind w:right="57"/>
              <w:spacing w:after="0"/>
              <w:rPr>
                <w:sz w:val="20"/>
                <w:szCs w:val="20"/>
                <w:color w:val="auto"/>
              </w:rPr>
            </w:pPr>
            <w:r>
              <w:rPr>
                <w:rFonts w:ascii="Arial" w:cs="Arial" w:eastAsia="Arial" w:hAnsi="Arial"/>
                <w:sz w:val="13"/>
                <w:szCs w:val="13"/>
                <w:color w:val="auto"/>
              </w:rPr>
              <w:t>525,000</w:t>
            </w:r>
          </w:p>
        </w:tc>
        <w:tc>
          <w:tcPr>
            <w:tcW w:w="10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19,341</w:t>
            </w:r>
          </w:p>
        </w:tc>
        <w:tc>
          <w:tcPr>
            <w:tcW w:w="1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765,110</w:t>
            </w:r>
          </w:p>
        </w:tc>
        <w:tc>
          <w:tcPr>
            <w:tcW w:w="120" w:type="dxa"/>
            <w:vAlign w:val="bottom"/>
          </w:tcPr>
          <w:p>
            <w:pPr>
              <w:spacing w:after="0"/>
              <w:rPr>
                <w:sz w:val="12"/>
                <w:szCs w:val="1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2,184,451</w:t>
            </w:r>
          </w:p>
        </w:tc>
      </w:tr>
      <w:tr>
        <w:trPr>
          <w:trHeight w:val="135"/>
        </w:trPr>
        <w:tc>
          <w:tcPr>
            <w:tcW w:w="4120" w:type="dxa"/>
            <w:vAlign w:val="bottom"/>
          </w:tcPr>
          <w:p>
            <w:pPr>
              <w:spacing w:after="0"/>
              <w:rPr>
                <w:sz w:val="11"/>
                <w:szCs w:val="11"/>
                <w:color w:val="auto"/>
              </w:rPr>
            </w:pPr>
          </w:p>
        </w:tc>
        <w:tc>
          <w:tcPr>
            <w:tcW w:w="15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Resignation for Good</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525,000</w:t>
            </w:r>
          </w:p>
        </w:tc>
        <w:tc>
          <w:tcPr>
            <w:tcW w:w="96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rPr>
              <w:t>525,000</w:t>
            </w: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19,341</w:t>
            </w:r>
          </w:p>
        </w:tc>
        <w:tc>
          <w:tcPr>
            <w:tcW w:w="12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765,110</w:t>
            </w:r>
          </w:p>
        </w:tc>
        <w:tc>
          <w:tcPr>
            <w:tcW w:w="1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2,184,451</w:t>
            </w:r>
          </w:p>
        </w:tc>
      </w:tr>
      <w:tr>
        <w:trPr>
          <w:trHeight w:val="148"/>
        </w:trPr>
        <w:tc>
          <w:tcPr>
            <w:tcW w:w="412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Reason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4120" w:type="dxa"/>
            <w:vAlign w:val="bottom"/>
          </w:tcPr>
          <w:p>
            <w:pPr>
              <w:spacing w:after="0"/>
              <w:rPr>
                <w:sz w:val="11"/>
                <w:szCs w:val="11"/>
                <w:color w:val="auto"/>
              </w:rPr>
            </w:pPr>
          </w:p>
        </w:tc>
        <w:tc>
          <w:tcPr>
            <w:tcW w:w="156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7"/>
              </w:rPr>
              <w:t>Nonextension of Term by</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525,000</w:t>
            </w:r>
          </w:p>
        </w:tc>
        <w:tc>
          <w:tcPr>
            <w:tcW w:w="96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rPr>
              <w:t>525,000</w:t>
            </w:r>
          </w:p>
        </w:tc>
        <w:tc>
          <w:tcPr>
            <w:tcW w:w="10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19,341</w:t>
            </w:r>
          </w:p>
        </w:tc>
        <w:tc>
          <w:tcPr>
            <w:tcW w:w="12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765,110</w:t>
            </w:r>
          </w:p>
        </w:tc>
        <w:tc>
          <w:tcPr>
            <w:tcW w:w="1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2,184,451</w:t>
            </w:r>
          </w:p>
        </w:tc>
      </w:tr>
      <w:tr>
        <w:trPr>
          <w:trHeight w:val="148"/>
        </w:trPr>
        <w:tc>
          <w:tcPr>
            <w:tcW w:w="412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Partnership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412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Change in Control (4)</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765,110</w:t>
            </w:r>
          </w:p>
        </w:tc>
        <w:tc>
          <w:tcPr>
            <w:tcW w:w="120" w:type="dxa"/>
            <w:vAlign w:val="bottom"/>
          </w:tcPr>
          <w:p>
            <w:pPr>
              <w:spacing w:after="0"/>
              <w:rPr>
                <w:sz w:val="12"/>
                <w:szCs w:val="1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765,110</w:t>
            </w:r>
          </w:p>
        </w:tc>
      </w:tr>
      <w:tr>
        <w:trPr>
          <w:trHeight w:val="135"/>
        </w:trPr>
        <w:tc>
          <w:tcPr>
            <w:tcW w:w="4120" w:type="dxa"/>
            <w:vAlign w:val="bottom"/>
          </w:tcPr>
          <w:p>
            <w:pPr>
              <w:spacing w:after="0"/>
              <w:rPr>
                <w:sz w:val="11"/>
                <w:szCs w:val="11"/>
                <w:color w:val="auto"/>
              </w:rPr>
            </w:pPr>
          </w:p>
        </w:tc>
        <w:tc>
          <w:tcPr>
            <w:tcW w:w="156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7"/>
              </w:rPr>
              <w:t>Nonextension of Term by</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350,000</w:t>
            </w:r>
          </w:p>
        </w:tc>
        <w:tc>
          <w:tcPr>
            <w:tcW w:w="96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19,341</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719,341</w:t>
            </w:r>
          </w:p>
        </w:tc>
      </w:tr>
      <w:tr>
        <w:trPr>
          <w:trHeight w:val="135"/>
        </w:trPr>
        <w:tc>
          <w:tcPr>
            <w:tcW w:w="4120" w:type="dxa"/>
            <w:vAlign w:val="bottom"/>
          </w:tcPr>
          <w:p>
            <w:pPr>
              <w:spacing w:after="0"/>
              <w:rPr>
                <w:sz w:val="11"/>
                <w:szCs w:val="11"/>
                <w:color w:val="auto"/>
              </w:rPr>
            </w:pPr>
          </w:p>
        </w:tc>
        <w:tc>
          <w:tcPr>
            <w:tcW w:w="15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Executive, Partnership</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412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Exercises Noncompete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7"/>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James Johnston</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34"/>
        </w:trPr>
        <w:tc>
          <w:tcPr>
            <w:tcW w:w="41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 xml:space="preserve">Executive Vice President, General Counsel and Chief Compliance Officer </w:t>
            </w:r>
            <w:r>
              <w:rPr>
                <w:rFonts w:ascii="Arial" w:cs="Arial" w:eastAsia="Arial" w:hAnsi="Arial"/>
                <w:sz w:val="10"/>
                <w:szCs w:val="10"/>
                <w:color w:val="auto"/>
                <w:w w:val="93"/>
              </w:rPr>
              <w:t>(5)</w:t>
            </w: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Termination by Reason of</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116,667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19,941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1,216,333</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1,352,941</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Death or Disability</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8"/>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w w:val="90"/>
              </w:rPr>
              <w:t>Termination Without Cause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525,000</w:t>
            </w:r>
          </w:p>
        </w:tc>
        <w:tc>
          <w:tcPr>
            <w:tcW w:w="9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525,000</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116,667</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19,941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1,216,333</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2,402,941</w:t>
            </w: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Resignation for Good</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525,000</w:t>
            </w:r>
          </w:p>
        </w:tc>
        <w:tc>
          <w:tcPr>
            <w:tcW w:w="960" w:type="dxa"/>
            <w:vAlign w:val="bottom"/>
            <w:gridSpan w:val="3"/>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525,000</w:t>
            </w: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116,667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19,941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1,216,333</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2,402,941</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Reason</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Nonextension of Term by</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525,000</w:t>
            </w:r>
          </w:p>
        </w:tc>
        <w:tc>
          <w:tcPr>
            <w:tcW w:w="960" w:type="dxa"/>
            <w:vAlign w:val="bottom"/>
            <w:gridSpan w:val="3"/>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525,000</w:t>
            </w: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116,667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19,941</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1,216,333</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2,402,941</w:t>
            </w: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Partnership</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8"/>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Change in Control (4)</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1,216,333</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1,216,333</w:t>
            </w:r>
          </w:p>
        </w:tc>
      </w:tr>
      <w:tr>
        <w:trPr>
          <w:trHeight w:val="134"/>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Nonextension of Term by</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350,000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525,000</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19,941</w:t>
            </w:r>
          </w:p>
        </w:tc>
        <w:tc>
          <w:tcPr>
            <w:tcW w:w="1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4"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line="134" w:lineRule="exact"/>
              <w:rPr>
                <w:sz w:val="20"/>
                <w:szCs w:val="20"/>
                <w:color w:val="auto"/>
              </w:rPr>
            </w:pPr>
            <w:r>
              <w:rPr>
                <w:rFonts w:ascii="Arial" w:cs="Arial" w:eastAsia="Arial" w:hAnsi="Arial"/>
                <w:sz w:val="13"/>
                <w:szCs w:val="13"/>
                <w:color w:val="auto"/>
              </w:rPr>
              <w:t>894,941</w:t>
            </w:r>
          </w:p>
        </w:tc>
      </w:tr>
      <w:tr>
        <w:trPr>
          <w:trHeight w:val="135"/>
        </w:trPr>
        <w:tc>
          <w:tcPr>
            <w:tcW w:w="4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Executive, Partnership</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rPr>
              <w:t>Exercises Noncompete</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9"/>
        </w:trPr>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8"/>
        </w:trPr>
        <w:tc>
          <w:tcPr>
            <w:tcW w:w="4120" w:type="dxa"/>
            <w:vAlign w:val="bottom"/>
          </w:tcPr>
          <w:p>
            <w:pPr>
              <w:spacing w:after="0" w:line="148" w:lineRule="exact"/>
              <w:rPr>
                <w:sz w:val="20"/>
                <w:szCs w:val="20"/>
                <w:color w:val="auto"/>
              </w:rPr>
            </w:pPr>
            <w:r>
              <w:rPr>
                <w:rFonts w:ascii="Arial" w:cs="Arial" w:eastAsia="Arial" w:hAnsi="Arial"/>
                <w:sz w:val="13"/>
                <w:szCs w:val="13"/>
                <w:color w:val="auto"/>
              </w:rPr>
              <w:t>Leonard W. Mallett</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 xml:space="preserve">Former Executive Vice President and Chief Operations Officer </w:t>
            </w:r>
            <w:r>
              <w:rPr>
                <w:rFonts w:ascii="Arial" w:cs="Arial" w:eastAsia="Arial" w:hAnsi="Arial"/>
                <w:sz w:val="10"/>
                <w:szCs w:val="10"/>
                <w:color w:val="auto"/>
              </w:rPr>
              <w:t>(5) (6)</w:t>
            </w: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w w:val="90"/>
              </w:rPr>
              <w:t>Termination Without Cause</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600,000</w:t>
            </w:r>
          </w:p>
        </w:tc>
        <w:tc>
          <w:tcPr>
            <w:tcW w:w="960" w:type="dxa"/>
            <w:vAlign w:val="bottom"/>
            <w:gridSpan w:val="3"/>
          </w:tcPr>
          <w:p>
            <w:pPr>
              <w:jc w:val="right"/>
              <w:ind w:right="57"/>
              <w:spacing w:after="0"/>
              <w:rPr>
                <w:sz w:val="20"/>
                <w:szCs w:val="20"/>
                <w:color w:val="auto"/>
              </w:rPr>
            </w:pPr>
            <w:r>
              <w:rPr>
                <w:rFonts w:ascii="Arial" w:cs="Arial" w:eastAsia="Arial" w:hAnsi="Arial"/>
                <w:sz w:val="13"/>
                <w:szCs w:val="13"/>
                <w:color w:val="auto"/>
              </w:rPr>
              <w:t>996,000</w:t>
            </w:r>
          </w:p>
        </w:tc>
        <w:tc>
          <w:tcPr>
            <w:tcW w:w="10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15,285</w:t>
            </w:r>
          </w:p>
        </w:tc>
        <w:tc>
          <w:tcPr>
            <w:tcW w:w="12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710,625</w:t>
            </w:r>
          </w:p>
        </w:tc>
        <w:tc>
          <w:tcPr>
            <w:tcW w:w="12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2,721,910</w:t>
            </w:r>
          </w:p>
        </w:tc>
      </w:tr>
      <w:tr>
        <w:trPr>
          <w:trHeight w:val="28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Louise E. Matthews</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Former Executive Vice President and Chief Administration Officer </w:t>
            </w:r>
            <w:r>
              <w:rPr>
                <w:rFonts w:ascii="Arial" w:cs="Arial" w:eastAsia="Arial" w:hAnsi="Arial"/>
                <w:sz w:val="10"/>
                <w:szCs w:val="10"/>
                <w:color w:val="auto"/>
              </w:rPr>
              <w:t>(5) (6)</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3"/>
                <w:szCs w:val="13"/>
                <w:color w:val="auto"/>
                <w:w w:val="90"/>
              </w:rPr>
              <w:t>Termination Without Cause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450,000</w:t>
            </w:r>
          </w:p>
        </w:tc>
        <w:tc>
          <w:tcPr>
            <w:tcW w:w="96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815,000</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74,795</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19,341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54,156</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1,413,292</w:t>
            </w:r>
          </w:p>
        </w:tc>
      </w:tr>
      <w:tr>
        <w:trPr>
          <w:trHeight w:val="297"/>
        </w:trPr>
        <w:tc>
          <w:tcPr>
            <w:tcW w:w="4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r>
    </w:tbl>
    <w:p>
      <w:pPr>
        <w:spacing w:after="0" w:line="89" w:lineRule="exact"/>
        <w:rPr>
          <w:sz w:val="20"/>
          <w:szCs w:val="20"/>
          <w:color w:val="auto"/>
        </w:rPr>
      </w:pPr>
    </w:p>
    <w:p>
      <w:pPr>
        <w:ind w:left="800" w:right="700" w:hanging="401"/>
        <w:spacing w:after="0" w:line="253" w:lineRule="auto"/>
        <w:tabs>
          <w:tab w:leader="none" w:pos="800" w:val="left"/>
        </w:tabs>
        <w:numPr>
          <w:ilvl w:val="0"/>
          <w:numId w:val="115"/>
        </w:numPr>
        <w:rPr>
          <w:rFonts w:ascii="Arial" w:cs="Arial" w:eastAsia="Arial" w:hAnsi="Arial"/>
          <w:sz w:val="12"/>
          <w:szCs w:val="12"/>
          <w:color w:val="auto"/>
        </w:rPr>
      </w:pPr>
      <w:r>
        <w:rPr>
          <w:rFonts w:ascii="Arial" w:cs="Arial" w:eastAsia="Arial" w:hAnsi="Arial"/>
          <w:sz w:val="14"/>
          <w:szCs w:val="14"/>
          <w:color w:val="auto"/>
        </w:rPr>
        <w:t>Where applicable, the amount includes the “Retention Bonus” payable to Mr. Mallett and Ms. Matthews upon a termination without cause or change in control. For more information see “Employment and Severance Arrangements; Retention Bonus Agreements” above.</w:t>
      </w:r>
    </w:p>
    <w:p>
      <w:pPr>
        <w:spacing w:after="0" w:line="65" w:lineRule="exact"/>
        <w:rPr>
          <w:rFonts w:ascii="Arial" w:cs="Arial" w:eastAsia="Arial" w:hAnsi="Arial"/>
          <w:sz w:val="12"/>
          <w:szCs w:val="12"/>
          <w:color w:val="auto"/>
        </w:rPr>
      </w:pPr>
    </w:p>
    <w:p>
      <w:pPr>
        <w:ind w:left="800" w:right="120" w:hanging="401"/>
        <w:spacing w:after="0" w:line="253" w:lineRule="auto"/>
        <w:tabs>
          <w:tab w:leader="none" w:pos="800" w:val="left"/>
        </w:tabs>
        <w:numPr>
          <w:ilvl w:val="0"/>
          <w:numId w:val="115"/>
        </w:numPr>
        <w:rPr>
          <w:rFonts w:ascii="Arial" w:cs="Arial" w:eastAsia="Arial" w:hAnsi="Arial"/>
          <w:sz w:val="12"/>
          <w:szCs w:val="12"/>
          <w:color w:val="auto"/>
        </w:rPr>
      </w:pPr>
      <w:r>
        <w:rPr>
          <w:rFonts w:ascii="Arial" w:cs="Arial" w:eastAsia="Arial" w:hAnsi="Arial"/>
          <w:sz w:val="14"/>
          <w:szCs w:val="14"/>
          <w:color w:val="auto"/>
        </w:rPr>
        <w:t>Amounts represent the value of the phantom units that vest upon the occurrence of a triggering event plus the earned distribution equivalent rights that vest in tandem. The value of the phantom units was calculated using the closing price of SMLP's publicly traded common units on December 31, 2020.</w:t>
      </w:r>
    </w:p>
    <w:p>
      <w:pPr>
        <w:spacing w:after="0" w:line="65" w:lineRule="exact"/>
        <w:rPr>
          <w:rFonts w:ascii="Arial" w:cs="Arial" w:eastAsia="Arial" w:hAnsi="Arial"/>
          <w:sz w:val="12"/>
          <w:szCs w:val="12"/>
          <w:color w:val="auto"/>
        </w:rPr>
      </w:pPr>
    </w:p>
    <w:p>
      <w:pPr>
        <w:ind w:left="800" w:hanging="401"/>
        <w:spacing w:after="0" w:line="244" w:lineRule="auto"/>
        <w:tabs>
          <w:tab w:leader="none" w:pos="80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Mr. Deneke’s employment agreement provides that upon termination of employment resulting from a non-extension of the term, termination without cause, or by Mr. Deneke’s resignation for good reason (each a "Qualifying Termination"), Mr. Deneke’s severance payment will be equal to two and one-half times the sum of his annual base salary and the higher of his target annual bonus payable in respect of the immediately preceding year and the annual bonus actually paid to him in respect of that year. Mr. Deneke is also entitled to receive a prorated annual bonus (based on target) if his employment is terminated by reason of death or disability or as a result of a Qualifying Termination. If the Partnership exercises the “noncompete option” after Mr. Deneke elects not to extend the term, then Mr. Deneke is entitled to a severance payment in an amount equal to the two and one-half times the sum of his annual base salary and the higher of the target annual bonus payable or the bonus actually paid in respect of the preceding year, multiplied by a fraction, the numerator of which is equal to the number of days from the date of termination through the expiration of the restricted period (as elected by the Partnership) and the denominator of which is 365. Any unvested equity awards granted to Mr. Deneke will immediately vest upon a Qualifying Termination, termination by reason of death or disability, or a change in control. If any portion of the payments or benefits provided to Mr. Deneke in connection with a change in control become subject to the excise tax under Section 4999 of the Internal Revenue Code, then the payments and benefits will be reduced to the extent such reduction would result in a greater after-tax benefit to Mr. Deneke. Following any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5" w:lineRule="exact"/>
        <w:rPr>
          <w:sz w:val="20"/>
          <w:szCs w:val="20"/>
          <w:color w:val="auto"/>
        </w:rPr>
      </w:pPr>
    </w:p>
    <w:p>
      <w:pPr>
        <w:ind w:left="800" w:right="100"/>
        <w:spacing w:after="0" w:line="253" w:lineRule="auto"/>
        <w:rPr>
          <w:sz w:val="20"/>
          <w:szCs w:val="20"/>
          <w:color w:val="auto"/>
        </w:rPr>
      </w:pPr>
      <w:r>
        <w:rPr>
          <w:rFonts w:ascii="Arial" w:cs="Arial" w:eastAsia="Arial" w:hAnsi="Arial"/>
          <w:sz w:val="14"/>
          <w:szCs w:val="14"/>
          <w:color w:val="auto"/>
        </w:rPr>
        <w:t>of employment, the Partnership has agreed to pay the out-of-pocket premium cost to continue Mr. Deneke’s medical and dental coverage for a period not to exceed 18 months, with such coverage terminating if any new employer provides benefits coverage.</w:t>
      </w:r>
    </w:p>
    <w:p>
      <w:pPr>
        <w:spacing w:after="0" w:line="66" w:lineRule="exact"/>
        <w:rPr>
          <w:sz w:val="20"/>
          <w:szCs w:val="20"/>
          <w:color w:val="auto"/>
        </w:rPr>
      </w:pPr>
    </w:p>
    <w:p>
      <w:pPr>
        <w:ind w:left="800" w:hanging="401"/>
        <w:spacing w:after="0"/>
        <w:tabs>
          <w:tab w:leader="none" w:pos="80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Single-trigger event without a qualifying termination of employment.</w:t>
      </w:r>
    </w:p>
    <w:p>
      <w:pPr>
        <w:spacing w:after="0" w:line="95" w:lineRule="exact"/>
        <w:rPr>
          <w:rFonts w:ascii="Arial" w:cs="Arial" w:eastAsia="Arial" w:hAnsi="Arial"/>
          <w:sz w:val="12"/>
          <w:szCs w:val="12"/>
          <w:color w:val="auto"/>
        </w:rPr>
      </w:pPr>
    </w:p>
    <w:p>
      <w:pPr>
        <w:ind w:left="800" w:right="120" w:hanging="401"/>
        <w:spacing w:after="0" w:line="229" w:lineRule="auto"/>
        <w:tabs>
          <w:tab w:leader="none" w:pos="80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Mr. Stratton’s, Mr. Johnston’s, Mr. Mallett’s, and Ms. Matthews’ employment agreements are substantially identical to Mr. Deneke’s with respect to potential payments upon termination or a change in control, except that (i) in the event of a Qualifying Termination, each of these NEOs is entitled to receive a severance payment equal to one and one-half times the sum of his or her annual base salary and his or her annual bonus payable in respect of the immediately preceding year; and (ii) in the event the Partnership exercises the “noncompete option” after any such NEO elects not to extend the term, then the NEO is entitled to a severance payment equal to the sum of his or her annual base salary and the bonus actually paid in respect of the preceding year, multiplied by a fraction, the numerator of which is equal to the number of days from the date of termination through the expiration of the restricted period (as elected by the Partnership) and the denominator of which is 365.</w:t>
      </w:r>
    </w:p>
    <w:p>
      <w:pPr>
        <w:spacing w:after="0" w:line="77" w:lineRule="exact"/>
        <w:rPr>
          <w:rFonts w:ascii="Arial" w:cs="Arial" w:eastAsia="Arial" w:hAnsi="Arial"/>
          <w:sz w:val="12"/>
          <w:szCs w:val="12"/>
          <w:color w:val="auto"/>
        </w:rPr>
      </w:pPr>
    </w:p>
    <w:p>
      <w:pPr>
        <w:ind w:left="800" w:right="400" w:hanging="401"/>
        <w:spacing w:after="0" w:line="253" w:lineRule="auto"/>
        <w:tabs>
          <w:tab w:leader="none" w:pos="80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Both Mr. Mallett and Ms. Matthews were terminated without cause in 2020. Accordingly, disclosure is limited to the triggering event that occurred. The amounts reflect actual amounts.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788"/>
        <w:spacing w:after="0" w:line="301" w:lineRule="auto"/>
        <w:rPr>
          <w:sz w:val="20"/>
          <w:szCs w:val="20"/>
          <w:color w:val="auto"/>
        </w:rPr>
      </w:pPr>
      <w:r>
        <w:rPr>
          <w:rFonts w:ascii="Arial" w:cs="Arial" w:eastAsia="Arial" w:hAnsi="Arial"/>
          <w:sz w:val="16"/>
          <w:szCs w:val="16"/>
          <w:color w:val="auto"/>
        </w:rPr>
        <w:t>The Compensation Committee provides oversight, administers and makes decisions regarding the Partnership’s compensation policies and plans. Additionally, the Compensation Committee generally reviews and discusses the Compensation Discussion and Analysis with senior management of the Partnership as a part of the Partnership’s governance practices. Based on this review and discussion, the Compensation Committee has recommended to the Board of Directors of the General Partner that the Compensation Discussion and Analysis be included in this report for filing with the SEC.</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Members of the Compensation Committee of Summit 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800"/>
        <w:spacing w:after="0"/>
        <w:tabs>
          <w:tab w:leader="none" w:pos="5040" w:val="left"/>
          <w:tab w:leader="none" w:pos="8760" w:val="left"/>
        </w:tabs>
        <w:rPr>
          <w:sz w:val="20"/>
          <w:szCs w:val="20"/>
          <w:color w:val="auto"/>
        </w:rPr>
      </w:pPr>
      <w:r>
        <w:rPr>
          <w:rFonts w:ascii="Arial" w:cs="Arial" w:eastAsia="Arial" w:hAnsi="Arial"/>
          <w:sz w:val="18"/>
          <w:szCs w:val="18"/>
          <w:color w:val="auto"/>
        </w:rPr>
        <w:t>Robert M. Wohleber (Chair)</w:t>
      </w:r>
      <w:r>
        <w:rPr>
          <w:sz w:val="20"/>
          <w:szCs w:val="20"/>
          <w:color w:val="auto"/>
        </w:rPr>
        <w:tab/>
      </w:r>
      <w:r>
        <w:rPr>
          <w:rFonts w:ascii="Arial" w:cs="Arial" w:eastAsia="Arial" w:hAnsi="Arial"/>
          <w:sz w:val="18"/>
          <w:szCs w:val="18"/>
          <w:color w:val="auto"/>
        </w:rPr>
        <w:t>James J. Cleary</w:t>
      </w:r>
      <w:r>
        <w:rPr>
          <w:sz w:val="20"/>
          <w:szCs w:val="20"/>
          <w:color w:val="auto"/>
        </w:rPr>
        <w:tab/>
      </w:r>
      <w:r>
        <w:rPr>
          <w:rFonts w:ascii="Arial" w:cs="Arial" w:eastAsia="Arial" w:hAnsi="Arial"/>
          <w:sz w:val="15"/>
          <w:szCs w:val="15"/>
          <w:color w:val="auto"/>
        </w:rPr>
        <w:t>James Lee Jacobe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2020, under the director compensation plan, the independent directors, which include Messrs. Peters, Wohleber, Jacobe, McNally, Cleary and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Woung-Chapman each received the following:</w:t>
      </w:r>
    </w:p>
    <w:p>
      <w:pPr>
        <w:spacing w:after="0" w:line="103" w:lineRule="exact"/>
        <w:rPr>
          <w:sz w:val="20"/>
          <w:szCs w:val="20"/>
          <w:color w:val="auto"/>
        </w:rPr>
      </w:pPr>
    </w:p>
    <w:p>
      <w:pPr>
        <w:ind w:left="800" w:hanging="401"/>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annual cash retainer of $80,000;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annual award of common units with a grant date fair value of approximately $100,000.</w:t>
      </w:r>
    </w:p>
    <w:p>
      <w:pPr>
        <w:spacing w:after="0" w:line="117"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addition, under the director compensation plan, the independent directors receive the following for their respective service on the committees of our Board of Directors:</w:t>
      </w:r>
    </w:p>
    <w:p>
      <w:pPr>
        <w:spacing w:after="0" w:line="62" w:lineRule="exact"/>
        <w:rPr>
          <w:sz w:val="20"/>
          <w:szCs w:val="20"/>
          <w:color w:val="auto"/>
        </w:rPr>
      </w:pPr>
    </w:p>
    <w:p>
      <w:pPr>
        <w:ind w:left="1580" w:right="520" w:hanging="398"/>
        <w:spacing w:after="0" w:line="259" w:lineRule="auto"/>
        <w:tabs>
          <w:tab w:leader="none" w:pos="1580" w:val="left"/>
        </w:tabs>
        <w:numPr>
          <w:ilvl w:val="0"/>
          <w:numId w:val="118"/>
        </w:numPr>
        <w:rPr>
          <w:rFonts w:ascii="Courier New" w:cs="Courier New" w:eastAsia="Courier New" w:hAnsi="Courier New"/>
          <w:sz w:val="18"/>
          <w:szCs w:val="18"/>
          <w:color w:val="auto"/>
        </w:rPr>
      </w:pPr>
      <w:r>
        <w:rPr>
          <w:rFonts w:ascii="Arial" w:cs="Arial" w:eastAsia="Arial" w:hAnsi="Arial"/>
          <w:sz w:val="18"/>
          <w:szCs w:val="18"/>
          <w:color w:val="auto"/>
        </w:rPr>
        <w:t>the chairman of the Audit Committee receives an additional annual retainer of $15,000; each independent member of the Audit Committee received an additional annual retainer of $7,000;</w:t>
      </w:r>
    </w:p>
    <w:p>
      <w:pPr>
        <w:spacing w:after="0" w:line="76" w:lineRule="exact"/>
        <w:rPr>
          <w:rFonts w:ascii="Courier New" w:cs="Courier New" w:eastAsia="Courier New" w:hAnsi="Courier New"/>
          <w:sz w:val="18"/>
          <w:szCs w:val="18"/>
          <w:color w:val="auto"/>
        </w:rPr>
      </w:pPr>
    </w:p>
    <w:p>
      <w:pPr>
        <w:ind w:left="1580" w:hanging="398"/>
        <w:spacing w:after="0"/>
        <w:tabs>
          <w:tab w:leader="none" w:pos="1580" w:val="left"/>
        </w:tabs>
        <w:numPr>
          <w:ilvl w:val="0"/>
          <w:numId w:val="118"/>
        </w:numPr>
        <w:rPr>
          <w:rFonts w:ascii="Courier New" w:cs="Courier New" w:eastAsia="Courier New" w:hAnsi="Courier New"/>
          <w:sz w:val="17"/>
          <w:szCs w:val="17"/>
          <w:color w:val="auto"/>
        </w:rPr>
      </w:pPr>
      <w:r>
        <w:rPr>
          <w:rFonts w:ascii="Arial" w:cs="Arial" w:eastAsia="Arial" w:hAnsi="Arial"/>
          <w:sz w:val="17"/>
          <w:szCs w:val="17"/>
          <w:color w:val="auto"/>
        </w:rPr>
        <w:t>the chairman of the Conflicts Committee, which was dissolved in May 2020, received an additional annual retainer of $15,000;</w:t>
      </w:r>
    </w:p>
    <w:p>
      <w:pPr>
        <w:spacing w:after="0" w:line="113" w:lineRule="exact"/>
        <w:rPr>
          <w:rFonts w:ascii="Courier New" w:cs="Courier New" w:eastAsia="Courier New" w:hAnsi="Courier New"/>
          <w:sz w:val="17"/>
          <w:szCs w:val="17"/>
          <w:color w:val="auto"/>
        </w:rPr>
      </w:pPr>
    </w:p>
    <w:p>
      <w:pPr>
        <w:ind w:left="1580" w:hanging="398"/>
        <w:spacing w:after="0"/>
        <w:tabs>
          <w:tab w:leader="none" w:pos="1580" w:val="left"/>
        </w:tabs>
        <w:numPr>
          <w:ilvl w:val="0"/>
          <w:numId w:val="118"/>
        </w:numPr>
        <w:rPr>
          <w:rFonts w:ascii="Courier New" w:cs="Courier New" w:eastAsia="Courier New" w:hAnsi="Courier New"/>
          <w:sz w:val="18"/>
          <w:szCs w:val="18"/>
          <w:color w:val="auto"/>
        </w:rPr>
      </w:pPr>
      <w:r>
        <w:rPr>
          <w:rFonts w:ascii="Arial" w:cs="Arial" w:eastAsia="Arial" w:hAnsi="Arial"/>
          <w:sz w:val="18"/>
          <w:szCs w:val="18"/>
          <w:color w:val="auto"/>
        </w:rPr>
        <w:t>the chairman of the Corporate Governance and Nominating Committee received an additional annual retainer of $10,000;</w:t>
      </w:r>
    </w:p>
    <w:p>
      <w:pPr>
        <w:spacing w:after="0" w:line="101" w:lineRule="exact"/>
        <w:rPr>
          <w:rFonts w:ascii="Courier New" w:cs="Courier New" w:eastAsia="Courier New" w:hAnsi="Courier New"/>
          <w:sz w:val="18"/>
          <w:szCs w:val="18"/>
          <w:color w:val="auto"/>
        </w:rPr>
      </w:pPr>
    </w:p>
    <w:p>
      <w:pPr>
        <w:ind w:left="1580" w:hanging="398"/>
        <w:spacing w:after="0"/>
        <w:tabs>
          <w:tab w:leader="none" w:pos="1580" w:val="left"/>
        </w:tabs>
        <w:numPr>
          <w:ilvl w:val="0"/>
          <w:numId w:val="118"/>
        </w:numPr>
        <w:rPr>
          <w:rFonts w:ascii="Courier New" w:cs="Courier New" w:eastAsia="Courier New" w:hAnsi="Courier New"/>
          <w:sz w:val="18"/>
          <w:szCs w:val="18"/>
          <w:color w:val="auto"/>
        </w:rPr>
      </w:pPr>
      <w:r>
        <w:rPr>
          <w:rFonts w:ascii="Arial" w:cs="Arial" w:eastAsia="Arial" w:hAnsi="Arial"/>
          <w:sz w:val="18"/>
          <w:szCs w:val="18"/>
          <w:color w:val="auto"/>
        </w:rPr>
        <w:t>the chairman of the Compensation Committee receives an additional annual retainer of $12,000; and</w:t>
      </w:r>
    </w:p>
    <w:p>
      <w:pPr>
        <w:spacing w:after="0" w:line="101" w:lineRule="exact"/>
        <w:rPr>
          <w:rFonts w:ascii="Courier New" w:cs="Courier New" w:eastAsia="Courier New" w:hAnsi="Courier New"/>
          <w:sz w:val="18"/>
          <w:szCs w:val="18"/>
          <w:color w:val="auto"/>
        </w:rPr>
      </w:pPr>
    </w:p>
    <w:p>
      <w:pPr>
        <w:ind w:left="1580" w:hanging="398"/>
        <w:spacing w:after="0"/>
        <w:tabs>
          <w:tab w:leader="none" w:pos="1580" w:val="left"/>
        </w:tabs>
        <w:numPr>
          <w:ilvl w:val="0"/>
          <w:numId w:val="118"/>
        </w:numPr>
        <w:rPr>
          <w:rFonts w:ascii="Courier New" w:cs="Courier New" w:eastAsia="Courier New" w:hAnsi="Courier New"/>
          <w:sz w:val="18"/>
          <w:szCs w:val="18"/>
          <w:color w:val="auto"/>
        </w:rPr>
      </w:pPr>
      <w:r>
        <w:rPr>
          <w:rFonts w:ascii="Arial" w:cs="Arial" w:eastAsia="Arial" w:hAnsi="Arial"/>
          <w:sz w:val="18"/>
          <w:szCs w:val="18"/>
          <w:color w:val="auto"/>
        </w:rPr>
        <w:t>each independent member of any committee (other than the chairman) receives an additional annual retainer of $5,000.</w:t>
      </w:r>
    </w:p>
    <w:p>
      <w:pPr>
        <w:spacing w:after="0" w:line="1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Messrs. Peters, Jacobe and Wohleber were paid their compensation in March 2020, whereas Messrs. McNally, Cleary and Ms. Woung-Chapman were paid upon the commencement of their service on the Board in June 2020.</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their regular compensation described above, the independent directors received the following additional fees for the increased time and effort they expended as chairperson and members, respectively, of the Conflicts Committee, in connection with the review of the GP Buy-In transaction for fairness to the Partnership and its unitholders:</w:t>
      </w:r>
    </w:p>
    <w:p>
      <w:pPr>
        <w:spacing w:after="0" w:line="76" w:lineRule="exact"/>
        <w:rPr>
          <w:sz w:val="20"/>
          <w:szCs w:val="20"/>
          <w:color w:val="auto"/>
        </w:rPr>
      </w:pPr>
    </w:p>
    <w:p>
      <w:pPr>
        <w:ind w:right="1800" w:firstLine="399"/>
        <w:spacing w:after="0" w:line="440" w:lineRule="auto"/>
        <w:tabs>
          <w:tab w:leader="none" w:pos="78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$25,000 to Mr. Wohleber and $20,000 to Mr. Peters and Mr. Jacobe for their work related to the GP Buy-In Transaction. Board members are reconsidered for appointment on the one-year anniversary of their most recent appointment.</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Partnership reimburses all directors for travel and other related expenses in connection with attending board and committee meetings and board-related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paid, including amounts deferred, under the Partnership’s director compensation plan in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Fees earned or</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 awards</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tcPr>
          <w:p>
            <w:pPr>
              <w:spacing w:after="0"/>
              <w:rPr>
                <w:sz w:val="18"/>
                <w:szCs w:val="18"/>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in cash ($)</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Other fees ($)</w:t>
            </w:r>
          </w:p>
        </w:tc>
        <w:tc>
          <w:tcPr>
            <w:tcW w:w="1340" w:type="dxa"/>
            <w:vAlign w:val="bottom"/>
          </w:tcPr>
          <w:p>
            <w:pPr>
              <w:jc w:val="center"/>
              <w:ind w:right="39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 xml:space="preserve">deferred ($) </w:t>
            </w:r>
            <w:r>
              <w:rPr>
                <w:rFonts w:ascii="Arial" w:cs="Arial" w:eastAsia="Arial" w:hAnsi="Arial"/>
                <w:sz w:val="15"/>
                <w:szCs w:val="15"/>
                <w:b w:val="1"/>
                <w:bCs w:val="1"/>
                <w:color w:val="auto"/>
                <w:w w:val="93"/>
              </w:rPr>
              <w:t>(2)</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 ($)</w:t>
            </w:r>
          </w:p>
        </w:tc>
      </w:tr>
      <w:tr>
        <w:trPr>
          <w:trHeight w:val="223"/>
        </w:trPr>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Robert M. Wohleber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152,000</w:t>
            </w:r>
          </w:p>
        </w:tc>
        <w:tc>
          <w:tcPr>
            <w:tcW w:w="16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252,000</w:t>
            </w:r>
          </w:p>
        </w:tc>
      </w:tr>
      <w:tr>
        <w:trPr>
          <w:trHeight w:val="230"/>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Jerry L. Peters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125,000</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225,000</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Lee Jacobe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117,000</w:t>
            </w:r>
          </w:p>
        </w:tc>
        <w:tc>
          <w:tcPr>
            <w:tcW w:w="16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217,000</w:t>
            </w: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J. McNally</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87,000</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187,000</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Marguerite Woung-Chapman</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16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190,000</w:t>
            </w: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Cleary</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90,000</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190,000</w:t>
            </w:r>
          </w:p>
        </w:tc>
      </w:tr>
    </w:tbl>
    <w:p>
      <w:pPr>
        <w:spacing w:after="0" w:line="89" w:lineRule="exact"/>
        <w:rPr>
          <w:sz w:val="20"/>
          <w:szCs w:val="20"/>
          <w:color w:val="auto"/>
        </w:rPr>
      </w:pPr>
    </w:p>
    <w:p>
      <w:pPr>
        <w:ind w:left="800" w:hanging="401"/>
        <w:spacing w:after="0"/>
        <w:tabs>
          <w:tab w:leader="none" w:pos="8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Amount shown represents the grant date fair value of the unit awards as determined in accordance with GAAP. These unit awards were fully vested on the grant date.</w:t>
      </w:r>
    </w:p>
    <w:p>
      <w:pPr>
        <w:spacing w:after="0" w:line="95" w:lineRule="exact"/>
        <w:rPr>
          <w:rFonts w:ascii="Arial" w:cs="Arial" w:eastAsia="Arial" w:hAnsi="Arial"/>
          <w:sz w:val="14"/>
          <w:szCs w:val="14"/>
          <w:color w:val="auto"/>
        </w:rPr>
      </w:pPr>
    </w:p>
    <w:p>
      <w:pPr>
        <w:ind w:left="800" w:hanging="401"/>
        <w:spacing w:after="0"/>
        <w:tabs>
          <w:tab w:leader="none" w:pos="8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 2020, no director elected to defer any portion of his compensation related to Board committee service.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Partnership’s Compensation Committee consists of Mr. Jacobe, Mr. Cleary and Mr. Wohleber. Although the Partnership’s common units are listed on the NYSE, the Partnership has taken advantage of the “Limited Partnership” exemption to the NYSE rule that would otherwise require listed companies to have an independent compensation committee with a written charter. During 2020, no member of the Compensation Committee was an executive officer of another entity on whose compensation committee or board of directors any executive officer of the Partnership served. During 2019, no director was an executive officer of another entity on whose compensation committee any executive officer of Summit Investments (and in connection therewith, SMLP) served.</w:t>
      </w:r>
    </w:p>
    <w:p>
      <w:pPr>
        <w:spacing w:after="0" w:line="8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Partnership’s CEO participated in his capacity as a director in the deliberations of the Board of Directors concerning named executive officer compensation and made recommendations to the Compensation Committee regarding named executive officer compensation but abstained from any decisions regarding his compensation.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the Partnership’s common units of:</w:t>
      </w:r>
    </w:p>
    <w:p>
      <w:pPr>
        <w:spacing w:after="0" w:line="117" w:lineRule="exact"/>
        <w:rPr>
          <w:sz w:val="20"/>
          <w:szCs w:val="20"/>
          <w:color w:val="auto"/>
        </w:rPr>
      </w:pPr>
    </w:p>
    <w:p>
      <w:pPr>
        <w:ind w:left="800" w:right="200" w:hanging="401"/>
        <w:spacing w:after="0" w:line="277"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5% or more of such units to be outstanding (based solely on Schedules 13D and 13G filed with the SEC prior to February 17, 2021);</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General Partner;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the directors and NEOs of the General Partner;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of the directors and executive officers of the General Partner as a group.</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information with respect to beneficial ownership has been furnished by the respective directors, officers or 5% or more unitholders as the case may be. The amounts and percentage of units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computing the number of common units beneficially owned by a person and the percentage ownership of that person, common units that a person has the right to acquire upon the vesting of phantom units where the units are issuable within 60 days of February 17, 2021, if any, are deemed outstanding, but are not deemed outstanding for computing the percentage ownership of any other person. The percentage of units beneficially owned is based on a total of 6,110,092 common limited partner units outstanding as of February 17, 2021. All common unit amounts reflect the Reverse Unit Split.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Except as indicated by footnote, the persons named in the following table have sole voting and investment power with respect to all units shown as beneficially owned by them,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Common Units</w:t>
            </w:r>
          </w:p>
        </w:tc>
        <w:tc>
          <w:tcPr>
            <w:tcW w:w="138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Common Units</w:t>
            </w:r>
          </w:p>
        </w:tc>
      </w:t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Beneficially</w:t>
            </w:r>
          </w:p>
        </w:tc>
        <w:tc>
          <w:tcPr>
            <w:tcW w:w="13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Beneficially</w:t>
            </w:r>
          </w:p>
        </w:tc>
      </w:tr>
      <w:tr>
        <w:trPr>
          <w:trHeight w:val="213"/>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Owned</w:t>
            </w:r>
          </w:p>
        </w:tc>
        <w:tc>
          <w:tcPr>
            <w:tcW w:w="1380" w:type="dxa"/>
            <w:vAlign w:val="bottom"/>
          </w:tcPr>
          <w:p>
            <w:pPr>
              <w:jc w:val="center"/>
              <w:ind w:right="112"/>
              <w:spacing w:after="0"/>
              <w:rPr>
                <w:sz w:val="20"/>
                <w:szCs w:val="20"/>
                <w:color w:val="auto"/>
              </w:rPr>
            </w:pPr>
            <w:r>
              <w:rPr>
                <w:rFonts w:ascii="Arial" w:cs="Arial" w:eastAsia="Arial" w:hAnsi="Arial"/>
                <w:sz w:val="16"/>
                <w:szCs w:val="16"/>
                <w:b w:val="1"/>
                <w:bCs w:val="1"/>
                <w:color w:val="auto"/>
                <w:w w:val="93"/>
              </w:rPr>
              <w:t>Owned</w:t>
            </w:r>
          </w:p>
        </w:tc>
      </w:tr>
      <w:tr>
        <w:trPr>
          <w:trHeight w:val="226"/>
        </w:trPr>
        <w:tc>
          <w:tcPr>
            <w:tcW w:w="8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Ares Management LLC</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312,143</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Invesco Ltd. </w:t>
            </w:r>
            <w:r>
              <w:rPr>
                <w:rFonts w:ascii="Arial" w:cs="Arial" w:eastAsia="Arial" w:hAnsi="Arial"/>
                <w:sz w:val="15"/>
                <w:szCs w:val="15"/>
                <w:color w:val="auto"/>
              </w:rPr>
              <w:t>(2)</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914,071</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J. Heath Deneke </w:t>
            </w:r>
            <w:r>
              <w:rPr>
                <w:rFonts w:ascii="Arial" w:cs="Arial" w:eastAsia="Arial" w:hAnsi="Arial"/>
                <w:sz w:val="15"/>
                <w:szCs w:val="15"/>
                <w:color w:val="auto"/>
              </w:rPr>
              <w:t>(3) (4)</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53,454</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James Johnston </w:t>
            </w:r>
            <w:r>
              <w:rPr>
                <w:rFonts w:ascii="Arial" w:cs="Arial" w:eastAsia="Arial" w:hAnsi="Arial"/>
                <w:sz w:val="15"/>
                <w:szCs w:val="15"/>
                <w:color w:val="auto"/>
              </w:rPr>
              <w:t>(3) (4)</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16,666</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Leonard W. Mallett </w:t>
            </w:r>
            <w:r>
              <w:rPr>
                <w:rFonts w:ascii="Arial" w:cs="Arial" w:eastAsia="Arial" w:hAnsi="Arial"/>
                <w:sz w:val="15"/>
                <w:szCs w:val="15"/>
                <w:color w:val="auto"/>
              </w:rPr>
              <w:t>(3) (5)</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29,035</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Louise Matthews </w:t>
            </w:r>
            <w:r>
              <w:rPr>
                <w:rFonts w:ascii="Arial" w:cs="Arial" w:eastAsia="Arial" w:hAnsi="Arial"/>
                <w:sz w:val="15"/>
                <w:szCs w:val="15"/>
                <w:color w:val="auto"/>
              </w:rPr>
              <w:t>(3) (5)</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3,361</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Marc D. Stratton </w:t>
            </w:r>
            <w:r>
              <w:rPr>
                <w:rFonts w:ascii="Arial" w:cs="Arial" w:eastAsia="Arial" w:hAnsi="Arial"/>
                <w:sz w:val="15"/>
                <w:szCs w:val="15"/>
                <w:color w:val="auto"/>
              </w:rPr>
              <w:t>(3) (4)</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7,695</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J. McNally</w:t>
            </w:r>
            <w:r>
              <w:rPr>
                <w:rFonts w:ascii="Arial" w:cs="Arial" w:eastAsia="Arial" w:hAnsi="Arial"/>
                <w:sz w:val="15"/>
                <w:szCs w:val="15"/>
                <w:color w:val="auto"/>
              </w:rPr>
              <w:t>(3)</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4,166</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Marguerite Woung-Chapman </w:t>
            </w:r>
            <w:r>
              <w:rPr>
                <w:rFonts w:ascii="Arial" w:cs="Arial" w:eastAsia="Arial" w:hAnsi="Arial"/>
                <w:sz w:val="15"/>
                <w:szCs w:val="15"/>
                <w:color w:val="auto"/>
              </w:rPr>
              <w:t>(3)</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James J. Cleary </w:t>
            </w:r>
            <w:r>
              <w:rPr>
                <w:rFonts w:ascii="Arial" w:cs="Arial" w:eastAsia="Arial" w:hAnsi="Arial"/>
                <w:sz w:val="15"/>
                <w:szCs w:val="15"/>
                <w:color w:val="auto"/>
              </w:rPr>
              <w:t>(3)</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4,166</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Jerry L. Peters </w:t>
            </w:r>
            <w:r>
              <w:rPr>
                <w:rFonts w:ascii="Arial" w:cs="Arial" w:eastAsia="Arial" w:hAnsi="Arial"/>
                <w:sz w:val="15"/>
                <w:szCs w:val="15"/>
                <w:color w:val="auto"/>
              </w:rPr>
              <w:t>(3)</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14,197</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Robert M. Wohleber </w:t>
            </w:r>
            <w:r>
              <w:rPr>
                <w:rFonts w:ascii="Arial" w:cs="Arial" w:eastAsia="Arial" w:hAnsi="Arial"/>
                <w:sz w:val="15"/>
                <w:szCs w:val="15"/>
                <w:color w:val="auto"/>
              </w:rPr>
              <w:t>(3)</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14,030</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James Lee Jacobe </w:t>
            </w:r>
            <w:r>
              <w:rPr>
                <w:rFonts w:ascii="Arial" w:cs="Arial" w:eastAsia="Arial" w:hAnsi="Arial"/>
                <w:sz w:val="15"/>
                <w:szCs w:val="15"/>
                <w:color w:val="auto"/>
              </w:rPr>
              <w:t>(3)</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12,848</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 (consisting of 11 persons)</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163,784</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An asterisk indicates that the person or entity owns less than one percent.</w:t>
      </w:r>
    </w:p>
    <w:p>
      <w:pPr>
        <w:spacing w:after="0" w:line="122" w:lineRule="exact"/>
        <w:rPr>
          <w:sz w:val="20"/>
          <w:szCs w:val="20"/>
          <w:color w:val="auto"/>
        </w:rPr>
      </w:pPr>
    </w:p>
    <w:p>
      <w:pPr>
        <w:ind w:right="180" w:firstLine="8"/>
        <w:spacing w:after="0" w:line="259" w:lineRule="auto"/>
        <w:tabs>
          <w:tab w:leader="none" w:pos="216" w:val="left"/>
        </w:tabs>
        <w:numPr>
          <w:ilvl w:val="0"/>
          <w:numId w:val="122"/>
        </w:numPr>
        <w:rPr>
          <w:rFonts w:ascii="Arial" w:cs="Arial" w:eastAsia="Arial" w:hAnsi="Arial"/>
          <w:sz w:val="15"/>
          <w:szCs w:val="15"/>
          <w:color w:val="auto"/>
        </w:rPr>
      </w:pPr>
      <w:r>
        <w:rPr>
          <w:rFonts w:ascii="Arial" w:cs="Arial" w:eastAsia="Arial" w:hAnsi="Arial"/>
          <w:sz w:val="18"/>
          <w:szCs w:val="18"/>
          <w:color w:val="auto"/>
        </w:rPr>
        <w:t>Ares Management LLC (“Ares”) controls, directly or indirectly, each Ares Lender of Record, as defined in the Form 13G filed by Ares Management LLC on November 27, 2020. The number of common units beneficially owned by Ares represents the collective number of common units beneficially owned by each Ares Lender of Record, as set forth in the Form 13G filed by Ares. The address for this entity is 2000 Avenue of the Stars, 12</w:t>
      </w:r>
      <w:r>
        <w:rPr>
          <w:rFonts w:ascii="Arial" w:cs="Arial" w:eastAsia="Arial" w:hAnsi="Arial"/>
          <w:sz w:val="15"/>
          <w:szCs w:val="15"/>
          <w:color w:val="auto"/>
        </w:rPr>
        <w:t>th</w:t>
      </w:r>
      <w:r>
        <w:rPr>
          <w:rFonts w:ascii="Arial" w:cs="Arial" w:eastAsia="Arial" w:hAnsi="Arial"/>
          <w:sz w:val="18"/>
          <w:szCs w:val="18"/>
          <w:color w:val="auto"/>
        </w:rPr>
        <w:t xml:space="preserve"> Floor, Los Angeles, CA 90067.</w:t>
      </w:r>
    </w:p>
    <w:p>
      <w:pPr>
        <w:spacing w:after="0" w:line="78" w:lineRule="exact"/>
        <w:rPr>
          <w:rFonts w:ascii="Arial" w:cs="Arial" w:eastAsia="Arial" w:hAnsi="Arial"/>
          <w:sz w:val="15"/>
          <w:szCs w:val="15"/>
          <w:color w:val="auto"/>
        </w:rPr>
      </w:pPr>
    </w:p>
    <w:p>
      <w:pPr>
        <w:ind w:left="240" w:hanging="232"/>
        <w:spacing w:after="0"/>
        <w:tabs>
          <w:tab w:leader="none" w:pos="240" w:val="left"/>
        </w:tabs>
        <w:numPr>
          <w:ilvl w:val="0"/>
          <w:numId w:val="122"/>
        </w:numPr>
        <w:rPr>
          <w:rFonts w:ascii="Arial" w:cs="Arial" w:eastAsia="Arial" w:hAnsi="Arial"/>
          <w:sz w:val="15"/>
          <w:szCs w:val="15"/>
          <w:color w:val="auto"/>
        </w:rPr>
      </w:pPr>
      <w:r>
        <w:rPr>
          <w:rFonts w:ascii="Arial" w:cs="Arial" w:eastAsia="Arial" w:hAnsi="Arial"/>
          <w:sz w:val="18"/>
          <w:szCs w:val="18"/>
          <w:color w:val="auto"/>
        </w:rPr>
        <w:t>The address for this entity is 1555 Peachtree Street NE, Suite 1800, Atlanta, GA 30309.</w:t>
      </w:r>
    </w:p>
    <w:p>
      <w:pPr>
        <w:spacing w:after="0" w:line="117" w:lineRule="exact"/>
        <w:rPr>
          <w:rFonts w:ascii="Arial" w:cs="Arial" w:eastAsia="Arial" w:hAnsi="Arial"/>
          <w:sz w:val="15"/>
          <w:szCs w:val="15"/>
          <w:color w:val="auto"/>
        </w:rPr>
      </w:pPr>
    </w:p>
    <w:p>
      <w:pPr>
        <w:ind w:left="240" w:hanging="232"/>
        <w:spacing w:after="0"/>
        <w:tabs>
          <w:tab w:leader="none" w:pos="240" w:val="left"/>
        </w:tabs>
        <w:numPr>
          <w:ilvl w:val="0"/>
          <w:numId w:val="122"/>
        </w:numPr>
        <w:rPr>
          <w:rFonts w:ascii="Arial" w:cs="Arial" w:eastAsia="Arial" w:hAnsi="Arial"/>
          <w:sz w:val="15"/>
          <w:szCs w:val="15"/>
          <w:color w:val="auto"/>
        </w:rPr>
      </w:pPr>
      <w:r>
        <w:rPr>
          <w:rFonts w:ascii="Arial" w:cs="Arial" w:eastAsia="Arial" w:hAnsi="Arial"/>
          <w:sz w:val="18"/>
          <w:szCs w:val="18"/>
          <w:color w:val="auto"/>
        </w:rPr>
        <w:t>The address for this person is 910 Louisiana Street, Suite 4200, Houston, TX 77002.</w:t>
      </w:r>
    </w:p>
    <w:p>
      <w:pPr>
        <w:spacing w:after="0" w:line="117" w:lineRule="exact"/>
        <w:rPr>
          <w:rFonts w:ascii="Arial" w:cs="Arial" w:eastAsia="Arial" w:hAnsi="Arial"/>
          <w:sz w:val="15"/>
          <w:szCs w:val="15"/>
          <w:color w:val="auto"/>
        </w:rPr>
      </w:pPr>
    </w:p>
    <w:p>
      <w:pPr>
        <w:ind w:left="300" w:right="40" w:hanging="284"/>
        <w:spacing w:after="0" w:line="263" w:lineRule="auto"/>
        <w:tabs>
          <w:tab w:leader="none" w:pos="236" w:val="left"/>
        </w:tabs>
        <w:numPr>
          <w:ilvl w:val="0"/>
          <w:numId w:val="122"/>
        </w:numPr>
        <w:rPr>
          <w:rFonts w:ascii="Arial" w:cs="Arial" w:eastAsia="Arial" w:hAnsi="Arial"/>
          <w:sz w:val="15"/>
          <w:szCs w:val="15"/>
          <w:color w:val="auto"/>
        </w:rPr>
      </w:pPr>
      <w:r>
        <w:rPr>
          <w:rFonts w:ascii="Arial" w:cs="Arial" w:eastAsia="Arial" w:hAnsi="Arial"/>
          <w:sz w:val="18"/>
          <w:szCs w:val="18"/>
          <w:color w:val="auto"/>
        </w:rPr>
        <w:t>Includes common units which the individuals have the right to acquire upon vesting of phantom units, where the units are issuable as of February 17, 2021 or within 60 days thereafter. Such units are deemed to be outstanding in calculating the percentage ownership of such individual (and all directors and officers as a group) but are not deemed to be outstanding as to any other person.</w:t>
      </w:r>
    </w:p>
    <w:p>
      <w:pPr>
        <w:spacing w:after="0" w:line="75" w:lineRule="exact"/>
        <w:rPr>
          <w:rFonts w:ascii="Arial" w:cs="Arial" w:eastAsia="Arial" w:hAnsi="Arial"/>
          <w:sz w:val="15"/>
          <w:szCs w:val="15"/>
          <w:color w:val="auto"/>
        </w:rPr>
      </w:pPr>
    </w:p>
    <w:p>
      <w:pPr>
        <w:ind w:left="300" w:right="40" w:hanging="284"/>
        <w:spacing w:after="0" w:line="277" w:lineRule="auto"/>
        <w:tabs>
          <w:tab w:leader="none" w:pos="236" w:val="left"/>
        </w:tabs>
        <w:numPr>
          <w:ilvl w:val="0"/>
          <w:numId w:val="122"/>
        </w:numPr>
        <w:rPr>
          <w:rFonts w:ascii="Arial" w:cs="Arial" w:eastAsia="Arial" w:hAnsi="Arial"/>
          <w:sz w:val="15"/>
          <w:szCs w:val="15"/>
          <w:color w:val="auto"/>
        </w:rPr>
      </w:pPr>
      <w:r>
        <w:rPr>
          <w:rFonts w:ascii="Arial" w:cs="Arial" w:eastAsia="Arial" w:hAnsi="Arial"/>
          <w:sz w:val="18"/>
          <w:szCs w:val="18"/>
          <w:color w:val="auto"/>
        </w:rPr>
        <w:t>This individual’s employment was terminated in 2020, and the common units beneficially owned by this individual are based on the last Form 4 filed by or on behalf of such individual.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the Partnership's common units that may be issued under the SMLP LTIP, as amended.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3"/>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Number of securities</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600" w:type="dxa"/>
            <w:vAlign w:val="bottom"/>
            <w:gridSpan w:val="2"/>
            <w:vMerge w:val="continue"/>
          </w:tcPr>
          <w:p>
            <w:pPr>
              <w:spacing w:after="0"/>
              <w:rPr>
                <w:sz w:val="12"/>
                <w:szCs w:val="12"/>
                <w:color w:val="auto"/>
              </w:rPr>
            </w:pP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4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 (1)</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440" w:type="dxa"/>
            <w:vAlign w:val="bottom"/>
          </w:tcPr>
          <w:p>
            <w:pPr>
              <w:jc w:val="center"/>
              <w:ind w:right="63"/>
              <w:spacing w:after="0"/>
              <w:rPr>
                <w:sz w:val="20"/>
                <w:szCs w:val="20"/>
                <w:color w:val="auto"/>
              </w:rPr>
            </w:pPr>
            <w:r>
              <w:rPr>
                <w:rFonts w:ascii="Arial" w:cs="Arial" w:eastAsia="Arial" w:hAnsi="Arial"/>
                <w:sz w:val="14"/>
                <w:szCs w:val="14"/>
                <w:b w:val="1"/>
                <w:bCs w:val="1"/>
                <w:color w:val="auto"/>
                <w:w w:val="98"/>
              </w:rPr>
              <w:t>(a)) (c)</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291,691</w:t>
            </w:r>
          </w:p>
        </w:tc>
        <w:tc>
          <w:tcPr>
            <w:tcW w:w="1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8"/>
                <w:szCs w:val="18"/>
                <w:color w:val="auto"/>
              </w:rPr>
              <w:t>440,030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6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291,691</w:t>
            </w:r>
          </w:p>
        </w:tc>
        <w:tc>
          <w:tcPr>
            <w:tcW w:w="1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8"/>
                <w:szCs w:val="18"/>
                <w:color w:val="auto"/>
              </w:rPr>
              <w:t>440,030</w:t>
            </w:r>
          </w:p>
        </w:tc>
        <w:tc>
          <w:tcPr>
            <w:tcW w:w="0" w:type="dxa"/>
            <w:vAlign w:val="bottom"/>
          </w:tcPr>
          <w:p>
            <w:pPr>
              <w:spacing w:after="0"/>
              <w:rPr>
                <w:sz w:val="1"/>
                <w:szCs w:val="1"/>
                <w:color w:val="auto"/>
              </w:rPr>
            </w:pPr>
          </w:p>
        </w:tc>
      </w:tr>
      <w:tr>
        <w:trPr>
          <w:trHeight w:val="148"/>
        </w:trPr>
        <w:tc>
          <w:tcPr>
            <w:tcW w:w="256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1520" w:type="dxa"/>
            <w:vAlign w:val="bottom"/>
            <w:vMerge w:val="restart"/>
          </w:tcPr>
          <w:p>
            <w:pPr>
              <w:jc w:val="right"/>
              <w:ind w:right="59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right="160" w:firstLine="8"/>
        <w:spacing w:after="0" w:line="293" w:lineRule="auto"/>
        <w:tabs>
          <w:tab w:leader="none" w:pos="22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Amount shown represents phantom unit awards outstanding under the SMLP LTIP at December 31, 2020. The awards are expected to be settled in common units upon the applicable vesting date and are not subject to an exercise price.</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2012 SMLP Long-Term Incentive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IPO, the Partnership’s General Partner approved the SMLP LTIP, as amended and restated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19, 2020, pursuant to which eligible officers, employees, consultants and directors of the Partnership’s General Partner and its affiliates are eligible to receive awards with respect to the Partnership’s equity interests. The SMLP LTIP is designed to promote the Partnership’s interests, as well as the interests of the Partnership’s unitholders, by rewarding eligible officers, employees, consultants and directors for delivering desired performance results, as well as by strengthening the Partnership’s ability to attract, retain and motivate qualified individuals to serve as directors, consultants and employees. A total of 15,000,000 common units was reserved for issuance, pursuant to and in accordance with the SMLP LTIP. Following the Reverse Unit Split, a total of 1,000,000 common units were reserved for issuance under the SMLP LTIP.</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SMLP LTIP is administered by Compensation Committee of the General Partner’s the Board of Directors. The SMLP LTIP provides for the grant, from time to time at the discretion of the Board of Directors, of unit awards, restricted units, phantom units, unit options, unit appreciation rights, distribution equivalent rights, profits interest units and other unit-based awards. Units that are canceled or forfeited are available for delivery pursuant to other awards.</w:t>
      </w:r>
    </w:p>
    <w:p>
      <w:pPr>
        <w:spacing w:after="0" w:line="7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Common units to be delivered with respect to awards may be newly issued units, common units acquired by the Partnership or the Partnership’s General Partner in the open market, common units already owned by the Partnership or the Partnership’s General Partner, common units acquired by the Partnership’s General Partner directly from the Partnership or any other person or any combination of the foregoing.</w:t>
      </w:r>
    </w:p>
    <w:p>
      <w:pPr>
        <w:spacing w:after="0" w:line="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General Partner's Board of Directors, at its discretion, may terminate the SMLP LTIP at any time with respect to the common units for which a grant has not previously been made. The SMLP LTIP will automatically terminate on the 10th anniversary of the amendment effective date, presently set at March 19, 2030. The General Partner's Board of Directors also has the right to alter or amend the SMLP LTIP or any part of it from time to time or to amend any outstanding award made under the SMLP LTIP, provided that no change in any outstanding award may be made that would materially impair the rights of the participant without the consent of the affected participant.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May 2020, the Partnership completed the GP Buy-In Transaction, whereby the Partnership acquired from its then private equity sponsor, ECP, (i) Summit Investments, which owned the Partnership’s General Partner, (ii) through its indirect ownership of SMP Holdings, 3,415,646 of its common units and (iii) the Deferred Purchase Price obligation receivable owed by the Partnership. Consideration paid to ECP included a $35.0 million cash payment and the issuance of warrants to purchase up to 666,667 common units. In connection with the closing of the GP Buy-In Transaction, ECP’s management resigned from the Board of Directors and ECP fully exited its investment in the Partnership (other than retaining the aforementioned warrants).</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result of the GP Buy-In Transaction, the Partnership indirectly owns its General Partner, and the General Partner’s Board of Directors is comprised of a majority of independent directors. The Partnership Agreement provides the Partnership’s common unitholders with voting rights in the election of the members of the Board of Directions on a staggered basis beginning in 2022.</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Distributions and Payments to the Partnership’s General Partner and its Affiliates. </w:t>
      </w:r>
      <w:r>
        <w:rPr>
          <w:rFonts w:ascii="Arial" w:cs="Arial" w:eastAsia="Arial" w:hAnsi="Arial"/>
          <w:sz w:val="17"/>
          <w:szCs w:val="17"/>
          <w:color w:val="auto"/>
        </w:rPr>
        <w:t>The following summarizes the distributions and payments made by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General Partner and its affiliates in connection with the Partnership’s ongoing operations and its liquidation. These distributions and payments were determined by and among affiliated entities and, consequently, are not the result of arm's-length negotiations.</w:t>
      </w:r>
    </w:p>
    <w:p>
      <w:pPr>
        <w:spacing w:after="0" w:line="57" w:lineRule="exact"/>
        <w:rPr>
          <w:sz w:val="20"/>
          <w:szCs w:val="20"/>
          <w:color w:val="auto"/>
        </w:rPr>
      </w:pPr>
    </w:p>
    <w:p>
      <w:pPr>
        <w:ind w:left="800" w:hanging="401"/>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Operational Stage</w:t>
      </w:r>
      <w:r>
        <w:rPr>
          <w:rFonts w:ascii="Arial" w:cs="Arial" w:eastAsia="Arial" w:hAnsi="Arial"/>
          <w:sz w:val="18"/>
          <w:szCs w:val="18"/>
          <w:color w:val="auto"/>
        </w:rPr>
        <w:t>: See "Agreements with Affiliates—Reimbursement of Expenses from General Partner" below.</w:t>
      </w:r>
    </w:p>
    <w:p>
      <w:pPr>
        <w:spacing w:after="0" w:line="117" w:lineRule="exact"/>
        <w:rPr>
          <w:rFonts w:ascii="Arial" w:cs="Arial" w:eastAsia="Arial" w:hAnsi="Arial"/>
          <w:sz w:val="18"/>
          <w:szCs w:val="18"/>
          <w:color w:val="auto"/>
        </w:rPr>
      </w:pPr>
    </w:p>
    <w:p>
      <w:pPr>
        <w:ind w:left="800" w:right="560" w:hanging="401"/>
        <w:spacing w:after="0" w:line="277"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Liquidation Stage</w:t>
      </w:r>
      <w:r>
        <w:rPr>
          <w:rFonts w:ascii="Arial" w:cs="Arial" w:eastAsia="Arial" w:hAnsi="Arial"/>
          <w:sz w:val="18"/>
          <w:szCs w:val="18"/>
          <w:color w:val="auto"/>
        </w:rPr>
        <w:t>: Upon the Partnership’s liquidation, the Partnership’s partners, including the General Partner, will be entitled to receive liquidating distributions according to their particular capital account balances.</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 xml:space="preserve">Agreements with Affiliates. </w:t>
      </w:r>
      <w:r>
        <w:rPr>
          <w:rFonts w:ascii="Arial" w:cs="Arial" w:eastAsia="Arial" w:hAnsi="Arial"/>
          <w:sz w:val="18"/>
          <w:szCs w:val="18"/>
          <w:color w:val="auto"/>
        </w:rPr>
        <w:t>The Partnership has various agreements with certain of its affiliates, as described below. These agreements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negotiated among affiliated parties and, consequently, are not the result of arm's-length negotiations.</w:t>
      </w:r>
    </w:p>
    <w:p>
      <w:pPr>
        <w:spacing w:after="0" w:line="62" w:lineRule="exact"/>
        <w:rPr>
          <w:sz w:val="20"/>
          <w:szCs w:val="20"/>
          <w:color w:val="auto"/>
        </w:rPr>
      </w:pPr>
    </w:p>
    <w:p>
      <w:pPr>
        <w:ind w:left="800" w:right="140" w:hanging="401"/>
        <w:spacing w:after="0" w:line="263" w:lineRule="auto"/>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 from General Partner</w:t>
      </w:r>
      <w:r>
        <w:rPr>
          <w:rFonts w:ascii="Arial" w:cs="Arial" w:eastAsia="Arial" w:hAnsi="Arial"/>
          <w:sz w:val="18"/>
          <w:szCs w:val="18"/>
          <w:color w:val="auto"/>
        </w:rPr>
        <w:t>: Prior to the GP Buy-In Transaction, under the then effective Partnership Agreement, SMLP reimbursed its General Partner and its affiliates for certain expenses incurred on SMLP’s behalf, including, without limitation, salary, bonus, incentive compensation and other amounts paid to SMLP’s General</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800" w:right="40"/>
        <w:spacing w:after="0" w:line="272" w:lineRule="auto"/>
        <w:rPr>
          <w:sz w:val="20"/>
          <w:szCs w:val="20"/>
          <w:color w:val="auto"/>
        </w:rPr>
      </w:pPr>
      <w:r>
        <w:rPr>
          <w:rFonts w:ascii="Arial" w:cs="Arial" w:eastAsia="Arial" w:hAnsi="Arial"/>
          <w:sz w:val="17"/>
          <w:szCs w:val="17"/>
          <w:color w:val="auto"/>
        </w:rPr>
        <w:t>Partner's employees and executive officers who perform services necessary to run SMLP. The then effective Partnership Agreement provided that SMLP’s General Partner will determine in good faith the expenses that are allocable to us. Operation and maintenance expenses incurred by the General Partner and reimbursed by SMLP under then then effective Partnership Agreement were $28.6 million in 2019 and $9.0 million for the period from January 1, 2020 to May 28, 2020. General and administrative expenses incurred by the General Partner and reimbursed by SMLP under the then effective Partnership Agreement were $32.2 million in 2019 and $11.9 million for the period from January 1, 2020 to May 28, 2020. As a result of the GP Buy-In Transaction, the Partnership indirectly owns its General Partner and is no longer required to reimburses an affiliate for its expenses.</w:t>
      </w:r>
    </w:p>
    <w:p>
      <w:pPr>
        <w:spacing w:after="0" w:line="69" w:lineRule="exact"/>
        <w:rPr>
          <w:sz w:val="20"/>
          <w:szCs w:val="20"/>
          <w:color w:val="auto"/>
        </w:rPr>
      </w:pPr>
    </w:p>
    <w:p>
      <w:pPr>
        <w:ind w:left="800" w:right="240" w:hanging="401"/>
        <w:spacing w:after="0" w:line="275" w:lineRule="auto"/>
        <w:tabs>
          <w:tab w:leader="none" w:pos="80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Expense Allocations</w:t>
      </w:r>
      <w:r>
        <w:rPr>
          <w:rFonts w:ascii="Arial" w:cs="Arial" w:eastAsia="Arial" w:hAnsi="Arial"/>
          <w:sz w:val="17"/>
          <w:szCs w:val="17"/>
          <w:color w:val="auto"/>
        </w:rPr>
        <w:t>: Prior to the completion of the GP Buy-In Transaction in May 2020, certain of Summit Investments’ current and former employees received Class B membership interests, classified as net profits interests, in Summit Investments (the “Net Profits Interests”). The Net Profits Interests participated in distributions upon time vesting and the achievement of certain distribution targets to Class A members or higher priority vested Net Profits Interests. The Net Profits Interests were accounted for as compensatory awards. Concurrent with closing the GP Buy-In Transaction, the Net Profits Interests were settled and are no longer outstanding.</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Review, Approval and Ratification of Related-Person Transactions. </w:t>
      </w:r>
      <w:r>
        <w:rPr>
          <w:rFonts w:ascii="Arial" w:cs="Arial" w:eastAsia="Arial" w:hAnsi="Arial"/>
          <w:sz w:val="18"/>
          <w:szCs w:val="18"/>
          <w:color w:val="auto"/>
        </w:rPr>
        <w:t>The Board of Directors has a policy for the identification, review and approval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related person transactions. The policy provides for the review and (as appropriate) approval by the Conflicts Committee of transactions between SMLP and its subsidiaries, on the one hand, and related persons (as that term is defined in SEC rules), on the other hand. Pursuant to the policy, the General Counsel of SMLP's General Partner is charged with primary responsibility for determining whether, based on the facts and circumstances, a proposed transaction is a related person transaction.</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purposes of the policy, a "related person" is any director or executive officer of SMLP's General Partner, any nominee for director, any unitholder known to SMLP to be the beneficial owner of more than 5% of any class of the SMLP's common units, and any immediate family member, affiliate or controlled subsidiary of any such person. A "related person transaction" is generally a transaction in which SMLP is, or SMLP's General Partner or any of SMLP's subsidiaries is, a participant, where the amount involved exceeds the lesser of (i) $120,000 or (ii) 1% of the average of our total assets at year-end for the last two completed fiscal years, and a related person has a direct or indirect material interest. Transactions resolved under the conflicts provision of the Partnership Agreement are not required to be reviewed or approved under the policy.</w:t>
      </w:r>
    </w:p>
    <w:p>
      <w:pPr>
        <w:spacing w:after="0" w:line="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after weighing all of the facts and circumstances, the general counsel of SMLP's General Partner determines that a proposed transaction is a related person transaction that requires review or approval and the transaction meets certain monetary thresholds or involves certain related persons, management must present the proposed transaction to the Conflicts Committee for advance approval. If the transaction does not meet the designated monetary threshold or involve certain related persons, management presents the transaction(s) to the Committee for their review on a quarterly basis.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policy described above was adopted by the Board of Directors on March 7, 2013, and as a result, certain of the transactions described in "Agreements with Affiliates" above were not reviewed under such policy.</w:t>
      </w:r>
    </w:p>
    <w:p>
      <w:pPr>
        <w:spacing w:after="0" w:line="6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 xml:space="preserve">Director Independence. </w:t>
      </w:r>
      <w:r>
        <w:rPr>
          <w:rFonts w:ascii="Arial" w:cs="Arial" w:eastAsia="Arial" w:hAnsi="Arial"/>
          <w:sz w:val="16"/>
          <w:szCs w:val="16"/>
          <w:color w:val="auto"/>
        </w:rPr>
        <w:t>Each of the current members of the Audit, Compensation and Corporate Governance &amp; Nominating Committees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to be independent under the applicable NYSE listing standards and rules of the SEC and the Corporate Governance Guidelines.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Partnership’s Audit Committee has ratified Deloitte &amp; Touche LLP, Independent Registered Public Accounting Firm, to audit the books, records and accounts of SMLP for the year ended December 31, 2020.</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The fees billed by Deloitte &amp; Touche LLP, as principal accountant, for the audit of the Partnership’s consolidated financial statements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rendered for the years ended December 31, 2020 and 2019 follow.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w w:val="83"/>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1,522,293</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1,654,404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588,156</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469,276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2,210,449</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2,143,680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9" w:lineRule="exact"/>
        <w:rPr>
          <w:sz w:val="20"/>
          <w:szCs w:val="20"/>
          <w:color w:val="auto"/>
        </w:rPr>
      </w:pPr>
    </w:p>
    <w:p>
      <w:pPr>
        <w:ind w:right="200" w:firstLine="8"/>
        <w:spacing w:after="0" w:line="230" w:lineRule="auto"/>
        <w:tabs>
          <w:tab w:leader="none" w:pos="201" w:val="left"/>
        </w:tabs>
        <w:numPr>
          <w:ilvl w:val="0"/>
          <w:numId w:val="127"/>
        </w:numPr>
        <w:rPr>
          <w:rFonts w:ascii="Arial" w:cs="Arial" w:eastAsia="Arial" w:hAnsi="Arial"/>
          <w:sz w:val="23"/>
          <w:szCs w:val="23"/>
          <w:color w:val="auto"/>
          <w:vertAlign w:val="superscript"/>
        </w:rPr>
      </w:pPr>
      <w:r>
        <w:rPr>
          <w:rFonts w:ascii="Arial" w:cs="Arial" w:eastAsia="Arial" w:hAnsi="Arial"/>
          <w:sz w:val="14"/>
          <w:szCs w:val="14"/>
          <w:color w:val="auto"/>
        </w:rPr>
        <w:t>Audit fees are fees billed by Deloitte &amp; Touche LLP for professional services for the audit and quarterly reviews of the Partnership’s consolidated financial statements, review of other SEC filings, including registration statements, and issuance of comfort letters and consents.</w:t>
      </w:r>
    </w:p>
    <w:p>
      <w:pPr>
        <w:spacing w:after="0" w:line="1" w:lineRule="exact"/>
        <w:rPr>
          <w:rFonts w:ascii="Arial" w:cs="Arial" w:eastAsia="Arial" w:hAnsi="Arial"/>
          <w:sz w:val="23"/>
          <w:szCs w:val="23"/>
          <w:color w:val="auto"/>
          <w:vertAlign w:val="superscript"/>
        </w:rPr>
      </w:pPr>
    </w:p>
    <w:p>
      <w:pPr>
        <w:ind w:left="200" w:hanging="192"/>
        <w:spacing w:after="0" w:line="183" w:lineRule="auto"/>
        <w:tabs>
          <w:tab w:leader="none" w:pos="200" w:val="left"/>
        </w:tabs>
        <w:numPr>
          <w:ilvl w:val="0"/>
          <w:numId w:val="127"/>
        </w:numPr>
        <w:rPr>
          <w:rFonts w:ascii="Arial" w:cs="Arial" w:eastAsia="Arial" w:hAnsi="Arial"/>
          <w:sz w:val="23"/>
          <w:szCs w:val="23"/>
          <w:color w:val="auto"/>
          <w:vertAlign w:val="superscript"/>
        </w:rPr>
      </w:pPr>
      <w:r>
        <w:rPr>
          <w:rFonts w:ascii="Arial" w:cs="Arial" w:eastAsia="Arial" w:hAnsi="Arial"/>
          <w:sz w:val="14"/>
          <w:szCs w:val="14"/>
          <w:color w:val="auto"/>
        </w:rPr>
        <w:t>Represents fees related to the Partnership’s At-the-market Program.</w:t>
      </w:r>
    </w:p>
    <w:p>
      <w:pPr>
        <w:spacing w:after="0" w:line="10" w:lineRule="exact"/>
        <w:rPr>
          <w:rFonts w:ascii="Arial" w:cs="Arial" w:eastAsia="Arial" w:hAnsi="Arial"/>
          <w:sz w:val="23"/>
          <w:szCs w:val="23"/>
          <w:color w:val="auto"/>
          <w:vertAlign w:val="superscript"/>
        </w:rPr>
      </w:pPr>
    </w:p>
    <w:p>
      <w:pPr>
        <w:ind w:right="240" w:firstLine="8"/>
        <w:spacing w:after="0" w:line="222" w:lineRule="auto"/>
        <w:tabs>
          <w:tab w:leader="none" w:pos="201" w:val="left"/>
        </w:tabs>
        <w:numPr>
          <w:ilvl w:val="0"/>
          <w:numId w:val="127"/>
        </w:numPr>
        <w:rPr>
          <w:rFonts w:ascii="Arial" w:cs="Arial" w:eastAsia="Arial" w:hAnsi="Arial"/>
          <w:sz w:val="23"/>
          <w:szCs w:val="23"/>
          <w:color w:val="auto"/>
          <w:vertAlign w:val="superscript"/>
        </w:rPr>
      </w:pPr>
      <w:r>
        <w:rPr>
          <w:rFonts w:ascii="Arial" w:cs="Arial" w:eastAsia="Arial" w:hAnsi="Arial"/>
          <w:sz w:val="14"/>
          <w:szCs w:val="14"/>
          <w:color w:val="auto"/>
        </w:rPr>
        <w:t>Tax fees are billed by Deloitte Tax LLP for tax compliance services, including the preparation of state, federal and Schedule K-1 tax filings and other tax planning and advisory services.</w:t>
      </w:r>
    </w:p>
    <w:p>
      <w:pPr>
        <w:spacing w:after="0" w:line="1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Pre-approval Policy. </w:t>
      </w:r>
      <w:r>
        <w:rPr>
          <w:rFonts w:ascii="Arial" w:cs="Arial" w:eastAsia="Arial" w:hAnsi="Arial"/>
          <w:sz w:val="18"/>
          <w:szCs w:val="18"/>
          <w:color w:val="auto"/>
        </w:rPr>
        <w:t>Pursuant to its charter, the Audit Committee is responsible for the appointment, compensation, retention and oversight of SMLP's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auditor (including resolution of disagreements between management and the independent auditor regarding financial reporting). The Audit Committee shall have sole authority to pre-approve all audit, audit-related and permitted non-audit engagements with the independent auditor, including the fees and other terms of such engagements. The independent auditor shall report directly to the Audit Committee. The Audit Committee may consult with management but may not delegate these responsibilities to management.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Consolidated Financial Statements and accompanying footnotes are included in Part II, Item 8,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All schedules are omitted because the required information is inapplicable or the information is presented in the financial statements or the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(3) Exhibit Index</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exhibits listed on the accompanying Exhibit Index are filed as part of, or incorporated by reference into, this Annual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80" w:type="dxa"/>
            <w:vAlign w:val="bottom"/>
          </w:tcPr>
          <w:p>
            <w:pPr>
              <w:spacing w:after="0"/>
              <w:rPr>
                <w:sz w:val="20"/>
                <w:szCs w:val="20"/>
                <w:color w:val="auto"/>
              </w:rPr>
            </w:pPr>
          </w:p>
        </w:tc>
        <w:tc>
          <w:tcPr>
            <w:tcW w:w="978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88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5"/>
              </w:rPr>
              <w:t>2.1</w:t>
            </w:r>
          </w:p>
        </w:tc>
        <w:tc>
          <w:tcPr>
            <w:tcW w:w="580" w:type="dxa"/>
            <w:vAlign w:val="bottom"/>
            <w:shd w:val="clear" w:color="auto" w:fill="CFF0FC"/>
          </w:tcPr>
          <w:p>
            <w:pPr>
              <w:spacing w:after="0"/>
              <w:rPr>
                <w:sz w:val="18"/>
                <w:szCs w:val="18"/>
                <w:color w:val="auto"/>
              </w:rPr>
            </w:pPr>
          </w:p>
        </w:tc>
        <w:tc>
          <w:tcPr>
            <w:tcW w:w="9780" w:type="dxa"/>
            <w:vAlign w:val="bottom"/>
            <w:gridSpan w:val="21"/>
            <w:shd w:val="clear" w:color="auto" w:fill="CFF0FC"/>
          </w:tcPr>
          <w:p>
            <w:pPr>
              <w:spacing w:after="0"/>
              <w:rPr>
                <w:rFonts w:ascii="Arial" w:cs="Arial" w:eastAsia="Arial" w:hAnsi="Arial"/>
                <w:sz w:val="18"/>
                <w:szCs w:val="18"/>
                <w:color w:val="0000EE"/>
                <w:w w:val="94"/>
              </w:rPr>
            </w:pPr>
            <w:hyperlink r:id="rId240">
              <w:r>
                <w:rPr>
                  <w:rFonts w:ascii="Arial" w:cs="Arial" w:eastAsia="Arial" w:hAnsi="Arial"/>
                  <w:sz w:val="18"/>
                  <w:szCs w:val="18"/>
                  <w:color w:val="0000EE"/>
                  <w:w w:val="94"/>
                </w:rPr>
                <w:t>Purchase Agreement, dated May 3, 2020, by and among Energy Capital Partners II, LP, Energy Capital Partners II-A, LP, Energy</w:t>
              </w:r>
            </w:hyperlink>
          </w:p>
        </w:tc>
      </w:tr>
      <w:tr>
        <w:trPr>
          <w:trHeight w:val="20"/>
        </w:trPr>
        <w:tc>
          <w:tcPr>
            <w:tcW w:w="8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196"/>
        </w:trPr>
        <w:tc>
          <w:tcPr>
            <w:tcW w:w="8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9760" w:type="dxa"/>
            <w:vAlign w:val="bottom"/>
            <w:tcBorders>
              <w:bottom w:val="single" w:sz="8" w:color="0000EE"/>
            </w:tcBorders>
            <w:gridSpan w:val="20"/>
            <w:shd w:val="clear" w:color="auto" w:fill="CFF0FC"/>
          </w:tcPr>
          <w:p>
            <w:pPr>
              <w:spacing w:after="0" w:line="196" w:lineRule="exact"/>
              <w:rPr>
                <w:rFonts w:ascii="Arial" w:cs="Arial" w:eastAsia="Arial" w:hAnsi="Arial"/>
                <w:sz w:val="18"/>
                <w:szCs w:val="18"/>
                <w:color w:val="0000EE"/>
                <w:w w:val="92"/>
              </w:rPr>
            </w:pPr>
            <w:hyperlink r:id="rId240">
              <w:r>
                <w:rPr>
                  <w:rFonts w:ascii="Arial" w:cs="Arial" w:eastAsia="Arial" w:hAnsi="Arial"/>
                  <w:sz w:val="18"/>
                  <w:szCs w:val="18"/>
                  <w:color w:val="0000EE"/>
                  <w:w w:val="92"/>
                </w:rPr>
                <w:t>Capital Partners II-C (SMLP IP), LP, Energy Capital Partners II-C (Summit IP), LP, Energy Capital Partners II (Summit Co-Invest), LP</w:t>
              </w:r>
            </w:hyperlink>
          </w:p>
        </w:tc>
        <w:tc>
          <w:tcPr>
            <w:tcW w:w="20" w:type="dxa"/>
            <w:vAlign w:val="bottom"/>
            <w:tcBorders>
              <w:bottom w:val="single" w:sz="8" w:color="CFF0FC"/>
            </w:tcBorders>
            <w:shd w:val="clear" w:color="auto" w:fill="CFF0FC"/>
          </w:tcPr>
          <w:p>
            <w:pPr>
              <w:spacing w:after="0"/>
              <w:rPr>
                <w:sz w:val="17"/>
                <w:szCs w:val="17"/>
                <w:color w:val="auto"/>
              </w:rPr>
            </w:pPr>
          </w:p>
        </w:tc>
      </w:tr>
      <w:tr>
        <w:trPr>
          <w:trHeight w:val="196"/>
        </w:trPr>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780" w:type="dxa"/>
            <w:vAlign w:val="bottom"/>
            <w:gridSpan w:val="21"/>
            <w:shd w:val="clear" w:color="auto" w:fill="CFF0FC"/>
          </w:tcPr>
          <w:p>
            <w:pPr>
              <w:spacing w:after="0" w:line="196" w:lineRule="exact"/>
              <w:rPr>
                <w:rFonts w:ascii="Arial" w:cs="Arial" w:eastAsia="Arial" w:hAnsi="Arial"/>
                <w:sz w:val="18"/>
                <w:szCs w:val="18"/>
                <w:color w:val="0000EE"/>
                <w:w w:val="99"/>
              </w:rPr>
            </w:pPr>
            <w:hyperlink r:id="rId240">
              <w:r>
                <w:rPr>
                  <w:rFonts w:ascii="Arial" w:cs="Arial" w:eastAsia="Arial" w:hAnsi="Arial"/>
                  <w:sz w:val="18"/>
                  <w:szCs w:val="18"/>
                  <w:color w:val="0000EE"/>
                  <w:w w:val="99"/>
                </w:rPr>
                <w:t>and Summit Midstream Management, LLC, as contributors, SMP TopCo, LLC and SMLP Holdings, LLC, as sellers, Summit</w:t>
              </w:r>
            </w:hyperlink>
          </w:p>
        </w:tc>
      </w:tr>
      <w:tr>
        <w:trPr>
          <w:trHeight w:val="20"/>
        </w:trPr>
        <w:tc>
          <w:tcPr>
            <w:tcW w:w="8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r>
      <w:tr>
        <w:trPr>
          <w:trHeight w:val="196"/>
        </w:trPr>
        <w:tc>
          <w:tcPr>
            <w:tcW w:w="8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9180" w:type="dxa"/>
            <w:vAlign w:val="bottom"/>
            <w:tcBorders>
              <w:bottom w:val="single" w:sz="8" w:color="0000EE"/>
            </w:tcBorders>
            <w:gridSpan w:val="11"/>
            <w:shd w:val="clear" w:color="auto" w:fill="CFF0FC"/>
          </w:tcPr>
          <w:p>
            <w:pPr>
              <w:spacing w:after="0" w:line="196" w:lineRule="exact"/>
              <w:rPr>
                <w:rFonts w:ascii="Arial" w:cs="Arial" w:eastAsia="Arial" w:hAnsi="Arial"/>
                <w:sz w:val="18"/>
                <w:szCs w:val="18"/>
                <w:color w:val="0000EE"/>
                <w:w w:val="90"/>
              </w:rPr>
            </w:pPr>
            <w:hyperlink r:id="rId240">
              <w:r>
                <w:rPr>
                  <w:rFonts w:ascii="Arial" w:cs="Arial" w:eastAsia="Arial" w:hAnsi="Arial"/>
                  <w:sz w:val="18"/>
                  <w:szCs w:val="18"/>
                  <w:color w:val="0000EE"/>
                  <w:w w:val="90"/>
                </w:rPr>
                <w:t>Midstream Partners, LP, as the acquiror, and, solely for certain purposes set forth therein, Summit Midstream Partners GP, LLC</w:t>
              </w:r>
            </w:hyperlink>
          </w:p>
        </w:tc>
        <w:tc>
          <w:tcPr>
            <w:tcW w:w="600" w:type="dxa"/>
            <w:vAlign w:val="bottom"/>
            <w:tcBorders>
              <w:bottom w:val="single" w:sz="8" w:color="CFF0FC"/>
            </w:tcBorders>
            <w:gridSpan w:val="10"/>
            <w:shd w:val="clear" w:color="auto" w:fill="CFF0FC"/>
          </w:tcPr>
          <w:p>
            <w:pPr>
              <w:spacing w:after="0"/>
              <w:rPr>
                <w:sz w:val="17"/>
                <w:szCs w:val="17"/>
                <w:color w:val="auto"/>
              </w:rPr>
            </w:pPr>
          </w:p>
        </w:tc>
      </w:tr>
      <w:tr>
        <w:trPr>
          <w:trHeight w:val="222"/>
        </w:trPr>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780" w:type="dxa"/>
            <w:vAlign w:val="bottom"/>
            <w:gridSpan w:val="21"/>
            <w:shd w:val="clear" w:color="auto" w:fill="CFF0FC"/>
          </w:tcPr>
          <w:p>
            <w:pPr>
              <w:spacing w:after="0"/>
              <w:rPr>
                <w:rFonts w:ascii="Arial" w:cs="Arial" w:eastAsia="Arial" w:hAnsi="Arial"/>
                <w:sz w:val="18"/>
                <w:szCs w:val="18"/>
                <w:u w:val="single" w:color="auto"/>
                <w:color w:val="0000EE"/>
                <w:w w:val="95"/>
              </w:rPr>
            </w:pPr>
            <w:hyperlink r:id="rId240">
              <w:r>
                <w:rPr>
                  <w:rFonts w:ascii="Arial" w:cs="Arial" w:eastAsia="Arial" w:hAnsi="Arial"/>
                  <w:sz w:val="18"/>
                  <w:szCs w:val="18"/>
                  <w:u w:val="single" w:color="auto"/>
                  <w:color w:val="0000EE"/>
                  <w:w w:val="95"/>
                </w:rPr>
                <w:t>(Incorporated herein by reference to Exhibit 2.1 to SMLP's Current Report on Form 8-K dated May 5, 2020 (Commission File No.</w:t>
              </w:r>
            </w:hyperlink>
          </w:p>
        </w:tc>
      </w:tr>
      <w:tr>
        <w:trPr>
          <w:trHeight w:val="237"/>
        </w:trPr>
        <w:tc>
          <w:tcPr>
            <w:tcW w:w="8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gridSpan w:val="3"/>
            <w:shd w:val="clear" w:color="auto" w:fill="CFF0FC"/>
          </w:tcPr>
          <w:p>
            <w:pPr>
              <w:ind w:left="580"/>
              <w:spacing w:after="0"/>
              <w:rPr>
                <w:rFonts w:ascii="Arial" w:cs="Arial" w:eastAsia="Arial" w:hAnsi="Arial"/>
                <w:sz w:val="18"/>
                <w:szCs w:val="18"/>
                <w:u w:val="single" w:color="auto"/>
                <w:color w:val="0000EE"/>
                <w:w w:val="89"/>
              </w:rPr>
            </w:pPr>
            <w:hyperlink r:id="rId240">
              <w:r>
                <w:rPr>
                  <w:rFonts w:ascii="Arial" w:cs="Arial" w:eastAsia="Arial" w:hAnsi="Arial"/>
                  <w:sz w:val="18"/>
                  <w:szCs w:val="18"/>
                  <w:u w:val="single" w:color="auto"/>
                  <w:color w:val="0000EE"/>
                  <w:w w:val="89"/>
                </w:rPr>
                <w:t>001-35666))</w:t>
              </w:r>
            </w:hyperlink>
          </w:p>
        </w:tc>
        <w:tc>
          <w:tcPr>
            <w:tcW w:w="20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7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r>
      <w:tr>
        <w:trPr>
          <w:trHeight w:val="216"/>
        </w:trPr>
        <w:tc>
          <w:tcPr>
            <w:tcW w:w="880" w:type="dxa"/>
            <w:vAlign w:val="bottom"/>
          </w:tcPr>
          <w:p>
            <w:pPr>
              <w:jc w:val="center"/>
              <w:ind w:left="110"/>
              <w:spacing w:after="0"/>
              <w:rPr>
                <w:sz w:val="20"/>
                <w:szCs w:val="20"/>
                <w:color w:val="auto"/>
              </w:rPr>
            </w:pPr>
            <w:r>
              <w:rPr>
                <w:rFonts w:ascii="Arial" w:cs="Arial" w:eastAsia="Arial" w:hAnsi="Arial"/>
                <w:sz w:val="18"/>
                <w:szCs w:val="18"/>
                <w:color w:val="auto"/>
                <w:w w:val="95"/>
              </w:rPr>
              <w:t>3.1</w:t>
            </w:r>
          </w:p>
        </w:tc>
        <w:tc>
          <w:tcPr>
            <w:tcW w:w="580" w:type="dxa"/>
            <w:vAlign w:val="bottom"/>
          </w:tcPr>
          <w:p>
            <w:pPr>
              <w:spacing w:after="0"/>
              <w:rPr>
                <w:sz w:val="18"/>
                <w:szCs w:val="18"/>
                <w:color w:val="auto"/>
              </w:rPr>
            </w:pPr>
          </w:p>
        </w:tc>
        <w:tc>
          <w:tcPr>
            <w:tcW w:w="8800" w:type="dxa"/>
            <w:vAlign w:val="bottom"/>
            <w:tcBorders>
              <w:bottom w:val="single" w:sz="8" w:color="0000EE"/>
            </w:tcBorders>
            <w:gridSpan w:val="9"/>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Fourth Amended and Restated Agreement of Limited Partnership of Summit Midstream Partners, LP, dated May 28, 2020</w:t>
              </w:r>
            </w:hyperlink>
          </w:p>
        </w:tc>
        <w:tc>
          <w:tcPr>
            <w:tcW w:w="980" w:type="dxa"/>
            <w:vAlign w:val="bottom"/>
            <w:gridSpan w:val="12"/>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w w:val="94"/>
              </w:rPr>
            </w:pPr>
            <w:hyperlink r:id="rId241">
              <w:r>
                <w:rPr>
                  <w:rFonts w:ascii="Arial" w:cs="Arial" w:eastAsia="Arial" w:hAnsi="Arial"/>
                  <w:sz w:val="18"/>
                  <w:szCs w:val="18"/>
                  <w:color w:val="0000EE"/>
                  <w:w w:val="94"/>
                </w:rPr>
                <w:t>(Incorporated herein by reference to Exhibit 3.1 to SMLP’s Current Report on Form 8-K dated June 2, 2020 (Commission File No.</w:t>
              </w:r>
            </w:hyperlink>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41">
              <w:r>
                <w:rPr>
                  <w:rFonts w:ascii="Arial" w:cs="Arial" w:eastAsia="Arial" w:hAnsi="Arial"/>
                  <w:sz w:val="18"/>
                  <w:szCs w:val="18"/>
                  <w:color w:val="0000EE"/>
                  <w:w w:val="89"/>
                </w:rPr>
                <w:t>001-35666))</w:t>
              </w:r>
            </w:hyperlink>
          </w:p>
        </w:tc>
        <w:tc>
          <w:tcPr>
            <w:tcW w:w="20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8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5"/>
              </w:rPr>
              <w:t>3.2</w:t>
            </w:r>
          </w:p>
        </w:tc>
        <w:tc>
          <w:tcPr>
            <w:tcW w:w="580" w:type="dxa"/>
            <w:vAlign w:val="bottom"/>
            <w:shd w:val="clear" w:color="auto" w:fill="CFF0FC"/>
          </w:tcPr>
          <w:p>
            <w:pPr>
              <w:spacing w:after="0"/>
              <w:rPr>
                <w:sz w:val="18"/>
                <w:szCs w:val="18"/>
                <w:color w:val="auto"/>
              </w:rPr>
            </w:pPr>
          </w:p>
        </w:tc>
        <w:tc>
          <w:tcPr>
            <w:tcW w:w="9780" w:type="dxa"/>
            <w:vAlign w:val="bottom"/>
            <w:gridSpan w:val="21"/>
            <w:shd w:val="clear" w:color="auto" w:fill="CFF0FC"/>
          </w:tcPr>
          <w:p>
            <w:pPr>
              <w:spacing w:after="0"/>
              <w:rPr>
                <w:rFonts w:ascii="Arial" w:cs="Arial" w:eastAsia="Arial" w:hAnsi="Arial"/>
                <w:sz w:val="18"/>
                <w:szCs w:val="18"/>
                <w:color w:val="0000EE"/>
                <w:w w:val="99"/>
              </w:rPr>
            </w:pPr>
            <w:hyperlink r:id="rId242">
              <w:r>
                <w:rPr>
                  <w:rFonts w:ascii="Arial" w:cs="Arial" w:eastAsia="Arial" w:hAnsi="Arial"/>
                  <w:sz w:val="18"/>
                  <w:szCs w:val="18"/>
                  <w:color w:val="0000EE"/>
                  <w:w w:val="99"/>
                </w:rPr>
                <w:t>Second Amended and Restated Limited Liability Company Agreement of Summit Midstream GP, LLC, dated May 28, 2020</w:t>
              </w:r>
            </w:hyperlink>
          </w:p>
        </w:tc>
      </w:tr>
      <w:tr>
        <w:trPr>
          <w:trHeight w:val="20"/>
        </w:trPr>
        <w:tc>
          <w:tcPr>
            <w:tcW w:w="8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00" w:type="dxa"/>
            <w:vAlign w:val="bottom"/>
            <w:tcBorders>
              <w:right w:val="single" w:sz="8" w:color="CFF0FC"/>
            </w:tcBorders>
            <w:gridSpan w:val="2"/>
            <w:shd w:val="clear" w:color="auto" w:fill="0000EE"/>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gridSpan w:val="3"/>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r>
      <w:tr>
        <w:trPr>
          <w:trHeight w:val="196"/>
        </w:trPr>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780" w:type="dxa"/>
            <w:vAlign w:val="bottom"/>
            <w:gridSpan w:val="21"/>
            <w:shd w:val="clear" w:color="auto" w:fill="CFF0FC"/>
          </w:tcPr>
          <w:p>
            <w:pPr>
              <w:spacing w:after="0" w:line="196" w:lineRule="exact"/>
              <w:rPr>
                <w:rFonts w:ascii="Arial" w:cs="Arial" w:eastAsia="Arial" w:hAnsi="Arial"/>
                <w:sz w:val="18"/>
                <w:szCs w:val="18"/>
                <w:color w:val="0000EE"/>
                <w:w w:val="92"/>
              </w:rPr>
            </w:pPr>
            <w:hyperlink r:id="rId242">
              <w:r>
                <w:rPr>
                  <w:rFonts w:ascii="Arial" w:cs="Arial" w:eastAsia="Arial" w:hAnsi="Arial"/>
                  <w:sz w:val="18"/>
                  <w:szCs w:val="18"/>
                  <w:color w:val="0000EE"/>
                  <w:w w:val="92"/>
                </w:rPr>
                <w:t>(Incorporated herein by reference to Exhibit 3.2 to SMLP's Current Report on Form 8-K filed June 2, 2020 (Commission File No. 001-</w:t>
              </w:r>
            </w:hyperlink>
          </w:p>
        </w:tc>
      </w:tr>
      <w:tr>
        <w:trPr>
          <w:trHeight w:val="244"/>
        </w:trPr>
        <w:tc>
          <w:tcPr>
            <w:tcW w:w="88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0000EE"/>
              <w:bottom w:val="single" w:sz="8" w:color="0000EE"/>
            </w:tcBorders>
            <w:shd w:val="clear" w:color="auto" w:fill="CFF0FC"/>
          </w:tcPr>
          <w:p>
            <w:pPr>
              <w:spacing w:after="0" w:line="196" w:lineRule="exact"/>
              <w:rPr>
                <w:rFonts w:ascii="Arial" w:cs="Arial" w:eastAsia="Arial" w:hAnsi="Arial"/>
                <w:sz w:val="18"/>
                <w:szCs w:val="18"/>
                <w:color w:val="0000EE"/>
                <w:w w:val="90"/>
              </w:rPr>
            </w:pPr>
            <w:hyperlink r:id="rId242">
              <w:r>
                <w:rPr>
                  <w:rFonts w:ascii="Arial" w:cs="Arial" w:eastAsia="Arial" w:hAnsi="Arial"/>
                  <w:sz w:val="18"/>
                  <w:szCs w:val="18"/>
                  <w:color w:val="0000EE"/>
                  <w:w w:val="90"/>
                </w:rPr>
                <w:t>35666)</w:t>
              </w:r>
              <w:r>
                <w:rPr>
                  <w:rFonts w:ascii="Arial" w:cs="Arial" w:eastAsia="Arial" w:hAnsi="Arial"/>
                  <w:sz w:val="18"/>
                  <w:szCs w:val="18"/>
                  <w:u w:val="single" w:color="auto"/>
                  <w:color w:val="0000EE"/>
                  <w:w w:val="90"/>
                </w:rPr>
                <w:t>)</w:t>
              </w:r>
            </w:hyperlink>
          </w:p>
        </w:tc>
        <w:tc>
          <w:tcPr>
            <w:tcW w:w="320" w:type="dxa"/>
            <w:vAlign w:val="bottom"/>
            <w:tcBorders>
              <w:top w:val="single" w:sz="8" w:color="0000EE"/>
              <w:bottom w:val="single" w:sz="8" w:color="CFF0FC"/>
            </w:tcBorders>
            <w:shd w:val="clear" w:color="auto" w:fill="CFF0FC"/>
          </w:tcPr>
          <w:p>
            <w:pPr>
              <w:spacing w:after="0"/>
              <w:rPr>
                <w:sz w:val="21"/>
                <w:szCs w:val="21"/>
                <w:color w:val="auto"/>
              </w:rPr>
            </w:pPr>
          </w:p>
        </w:tc>
        <w:tc>
          <w:tcPr>
            <w:tcW w:w="2060" w:type="dxa"/>
            <w:vAlign w:val="bottom"/>
            <w:tcBorders>
              <w:top w:val="single" w:sz="8" w:color="0000EE"/>
              <w:bottom w:val="single" w:sz="8" w:color="CFF0FC"/>
            </w:tcBorders>
            <w:shd w:val="clear" w:color="auto" w:fill="CFF0FC"/>
          </w:tcPr>
          <w:p>
            <w:pPr>
              <w:spacing w:after="0"/>
              <w:rPr>
                <w:sz w:val="21"/>
                <w:szCs w:val="21"/>
                <w:color w:val="auto"/>
              </w:rPr>
            </w:pPr>
          </w:p>
        </w:tc>
        <w:tc>
          <w:tcPr>
            <w:tcW w:w="260" w:type="dxa"/>
            <w:vAlign w:val="bottom"/>
            <w:tcBorders>
              <w:top w:val="single" w:sz="8" w:color="0000EE"/>
              <w:bottom w:val="single" w:sz="8" w:color="CFF0FC"/>
            </w:tcBorders>
            <w:shd w:val="clear" w:color="auto" w:fill="CFF0FC"/>
          </w:tcPr>
          <w:p>
            <w:pPr>
              <w:spacing w:after="0"/>
              <w:rPr>
                <w:sz w:val="21"/>
                <w:szCs w:val="21"/>
                <w:color w:val="auto"/>
              </w:rPr>
            </w:pPr>
          </w:p>
        </w:tc>
        <w:tc>
          <w:tcPr>
            <w:tcW w:w="2780" w:type="dxa"/>
            <w:vAlign w:val="bottom"/>
            <w:tcBorders>
              <w:top w:val="single" w:sz="8" w:color="0000EE"/>
              <w:bottom w:val="single" w:sz="8" w:color="CFF0FC"/>
            </w:tcBorders>
            <w:shd w:val="clear" w:color="auto" w:fill="CFF0FC"/>
          </w:tcPr>
          <w:p>
            <w:pPr>
              <w:spacing w:after="0"/>
              <w:rPr>
                <w:sz w:val="21"/>
                <w:szCs w:val="21"/>
                <w:color w:val="auto"/>
              </w:rPr>
            </w:pPr>
          </w:p>
        </w:tc>
        <w:tc>
          <w:tcPr>
            <w:tcW w:w="300" w:type="dxa"/>
            <w:vAlign w:val="bottom"/>
            <w:tcBorders>
              <w:top w:val="single" w:sz="8" w:color="0000EE"/>
              <w:bottom w:val="single" w:sz="8" w:color="CFF0FC"/>
            </w:tcBorders>
            <w:shd w:val="clear" w:color="auto" w:fill="CFF0FC"/>
          </w:tcPr>
          <w:p>
            <w:pPr>
              <w:spacing w:after="0"/>
              <w:rPr>
                <w:sz w:val="21"/>
                <w:szCs w:val="21"/>
                <w:color w:val="auto"/>
              </w:rPr>
            </w:pPr>
          </w:p>
        </w:tc>
        <w:tc>
          <w:tcPr>
            <w:tcW w:w="280" w:type="dxa"/>
            <w:vAlign w:val="bottom"/>
            <w:tcBorders>
              <w:top w:val="single" w:sz="8" w:color="0000EE"/>
              <w:bottom w:val="single" w:sz="8" w:color="CFF0FC"/>
            </w:tcBorders>
            <w:shd w:val="clear" w:color="auto" w:fill="CFF0FC"/>
          </w:tcPr>
          <w:p>
            <w:pPr>
              <w:spacing w:after="0"/>
              <w:rPr>
                <w:sz w:val="21"/>
                <w:szCs w:val="21"/>
                <w:color w:val="auto"/>
              </w:rPr>
            </w:pPr>
          </w:p>
        </w:tc>
        <w:tc>
          <w:tcPr>
            <w:tcW w:w="1220" w:type="dxa"/>
            <w:vAlign w:val="bottom"/>
            <w:tcBorders>
              <w:top w:val="single" w:sz="8" w:color="0000EE"/>
              <w:bottom w:val="single" w:sz="8" w:color="CFF0FC"/>
            </w:tcBorders>
            <w:shd w:val="clear" w:color="auto" w:fill="CFF0FC"/>
          </w:tcPr>
          <w:p>
            <w:pPr>
              <w:spacing w:after="0"/>
              <w:rPr>
                <w:sz w:val="21"/>
                <w:szCs w:val="21"/>
                <w:color w:val="auto"/>
              </w:rPr>
            </w:pPr>
          </w:p>
        </w:tc>
        <w:tc>
          <w:tcPr>
            <w:tcW w:w="1000" w:type="dxa"/>
            <w:vAlign w:val="bottom"/>
            <w:tcBorders>
              <w:top w:val="single" w:sz="8" w:color="0000EE"/>
              <w:bottom w:val="single" w:sz="8" w:color="CFF0FC"/>
            </w:tcBorders>
            <w:shd w:val="clear" w:color="auto" w:fill="CFF0FC"/>
          </w:tcPr>
          <w:p>
            <w:pPr>
              <w:spacing w:after="0"/>
              <w:rPr>
                <w:sz w:val="21"/>
                <w:szCs w:val="21"/>
                <w:color w:val="auto"/>
              </w:rPr>
            </w:pPr>
          </w:p>
        </w:tc>
        <w:tc>
          <w:tcPr>
            <w:tcW w:w="300" w:type="dxa"/>
            <w:vAlign w:val="bottom"/>
            <w:tcBorders>
              <w:top w:val="single" w:sz="8" w:color="0000EE"/>
              <w:bottom w:val="single" w:sz="8" w:color="CFF0FC"/>
              <w:right w:val="single" w:sz="8" w:color="CFF0FC"/>
            </w:tcBorders>
            <w:shd w:val="clear" w:color="auto" w:fill="CFF0FC"/>
          </w:tcPr>
          <w:p>
            <w:pPr>
              <w:spacing w:after="0"/>
              <w:rPr>
                <w:sz w:val="21"/>
                <w:szCs w:val="21"/>
                <w:color w:val="auto"/>
              </w:rPr>
            </w:pPr>
          </w:p>
        </w:tc>
        <w:tc>
          <w:tcPr>
            <w:tcW w:w="80" w:type="dxa"/>
            <w:vAlign w:val="bottom"/>
            <w:tcBorders>
              <w:top w:val="single" w:sz="8" w:color="0000EE"/>
              <w:bottom w:val="single" w:sz="8" w:color="CFF0FC"/>
            </w:tcBorders>
            <w:shd w:val="clear" w:color="auto" w:fill="CFF0FC"/>
          </w:tcPr>
          <w:p>
            <w:pPr>
              <w:spacing w:after="0"/>
              <w:rPr>
                <w:sz w:val="21"/>
                <w:szCs w:val="21"/>
                <w:color w:val="auto"/>
              </w:rPr>
            </w:pPr>
          </w:p>
        </w:tc>
        <w:tc>
          <w:tcPr>
            <w:tcW w:w="120" w:type="dxa"/>
            <w:vAlign w:val="bottom"/>
            <w:tcBorders>
              <w:top w:val="single" w:sz="8" w:color="0000EE"/>
              <w:bottom w:val="single" w:sz="8" w:color="CFF0FC"/>
            </w:tcBorders>
            <w:shd w:val="clear" w:color="auto" w:fill="CFF0FC"/>
          </w:tcPr>
          <w:p>
            <w:pPr>
              <w:spacing w:after="0"/>
              <w:rPr>
                <w:sz w:val="21"/>
                <w:szCs w:val="21"/>
                <w:color w:val="auto"/>
              </w:rPr>
            </w:pPr>
          </w:p>
        </w:tc>
        <w:tc>
          <w:tcPr>
            <w:tcW w:w="120" w:type="dxa"/>
            <w:vAlign w:val="bottom"/>
            <w:tcBorders>
              <w:top w:val="single" w:sz="8" w:color="0000EE"/>
              <w:bottom w:val="single" w:sz="8" w:color="CFF0FC"/>
            </w:tcBorders>
            <w:shd w:val="clear" w:color="auto" w:fill="CFF0FC"/>
          </w:tcPr>
          <w:p>
            <w:pPr>
              <w:spacing w:after="0"/>
              <w:rPr>
                <w:sz w:val="21"/>
                <w:szCs w:val="21"/>
                <w:color w:val="auto"/>
              </w:rPr>
            </w:pPr>
          </w:p>
        </w:tc>
        <w:tc>
          <w:tcPr>
            <w:tcW w:w="8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0000EE"/>
              <w:bottom w:val="single" w:sz="8" w:color="CFF0FC"/>
            </w:tcBorders>
            <w:shd w:val="clear" w:color="auto" w:fill="CFF0FC"/>
          </w:tcPr>
          <w:p>
            <w:pPr>
              <w:spacing w:after="0"/>
              <w:rPr>
                <w:sz w:val="21"/>
                <w:szCs w:val="21"/>
                <w:color w:val="auto"/>
              </w:rPr>
            </w:pPr>
          </w:p>
        </w:tc>
        <w:tc>
          <w:tcPr>
            <w:tcW w:w="60" w:type="dxa"/>
            <w:vAlign w:val="bottom"/>
            <w:tcBorders>
              <w:top w:val="single" w:sz="8" w:color="0000EE"/>
              <w:bottom w:val="single" w:sz="8" w:color="CFF0FC"/>
            </w:tcBorders>
            <w:shd w:val="clear" w:color="auto" w:fill="CFF0FC"/>
          </w:tcPr>
          <w:p>
            <w:pPr>
              <w:spacing w:after="0"/>
              <w:rPr>
                <w:sz w:val="21"/>
                <w:szCs w:val="21"/>
                <w:color w:val="auto"/>
              </w:rPr>
            </w:pPr>
          </w:p>
        </w:tc>
        <w:tc>
          <w:tcPr>
            <w:tcW w:w="60" w:type="dxa"/>
            <w:vAlign w:val="bottom"/>
            <w:tcBorders>
              <w:top w:val="single" w:sz="8" w:color="0000EE"/>
              <w:bottom w:val="single" w:sz="8" w:color="CFF0FC"/>
            </w:tcBorders>
            <w:shd w:val="clear" w:color="auto" w:fill="CFF0FC"/>
          </w:tcPr>
          <w:p>
            <w:pPr>
              <w:spacing w:after="0"/>
              <w:rPr>
                <w:sz w:val="21"/>
                <w:szCs w:val="21"/>
                <w:color w:val="auto"/>
              </w:rPr>
            </w:pPr>
          </w:p>
        </w:tc>
        <w:tc>
          <w:tcPr>
            <w:tcW w:w="6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6"/>
        </w:trPr>
        <w:tc>
          <w:tcPr>
            <w:tcW w:w="880" w:type="dxa"/>
            <w:vAlign w:val="bottom"/>
          </w:tcPr>
          <w:p>
            <w:pPr>
              <w:jc w:val="center"/>
              <w:ind w:left="110"/>
              <w:spacing w:after="0"/>
              <w:rPr>
                <w:sz w:val="20"/>
                <w:szCs w:val="20"/>
                <w:color w:val="auto"/>
              </w:rPr>
            </w:pPr>
            <w:r>
              <w:rPr>
                <w:rFonts w:ascii="Arial" w:cs="Arial" w:eastAsia="Arial" w:hAnsi="Arial"/>
                <w:sz w:val="18"/>
                <w:szCs w:val="18"/>
                <w:color w:val="auto"/>
                <w:w w:val="95"/>
              </w:rPr>
              <w:t>3.3</w:t>
            </w:r>
          </w:p>
        </w:tc>
        <w:tc>
          <w:tcPr>
            <w:tcW w:w="580" w:type="dxa"/>
            <w:vAlign w:val="bottom"/>
          </w:tcPr>
          <w:p>
            <w:pPr>
              <w:spacing w:after="0"/>
              <w:rPr>
                <w:sz w:val="18"/>
                <w:szCs w:val="18"/>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92"/>
              </w:rPr>
            </w:pPr>
            <w:hyperlink r:id="rId243">
              <w:r>
                <w:rPr>
                  <w:rFonts w:ascii="Arial" w:cs="Arial" w:eastAsia="Arial" w:hAnsi="Arial"/>
                  <w:sz w:val="18"/>
                  <w:szCs w:val="18"/>
                  <w:color w:val="0000EE"/>
                  <w:w w:val="92"/>
                </w:rPr>
                <w:t>Certificate of Limited Partnership of Summit Midstream Partners, LP (Incorporated herein by reference to Exhibit 3.1 to SMLP's Form</w:t>
              </w:r>
            </w:hyperlink>
          </w:p>
        </w:tc>
        <w:tc>
          <w:tcPr>
            <w:tcW w:w="40" w:type="dxa"/>
            <w:vAlign w:val="bottom"/>
            <w:gridSpan w:val="2"/>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S-1 Registration Statement dated August 21, 2012 (Commission File No. 333-183466))</w:t>
              </w:r>
            </w:hyperlink>
          </w:p>
        </w:tc>
      </w:tr>
      <w:tr>
        <w:trPr>
          <w:trHeight w:val="48"/>
        </w:trPr>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80" w:type="dxa"/>
            <w:vAlign w:val="bottom"/>
            <w:tcBorders>
              <w:bottom w:val="single" w:sz="8" w:color="CFF0FC"/>
            </w:tcBorders>
            <w:shd w:val="clear" w:color="auto" w:fill="CFF0FC"/>
          </w:tcPr>
          <w:p>
            <w:pPr>
              <w:jc w:val="center"/>
              <w:ind w:left="110"/>
              <w:spacing w:after="0"/>
              <w:rPr>
                <w:sz w:val="20"/>
                <w:szCs w:val="20"/>
                <w:color w:val="auto"/>
              </w:rPr>
            </w:pPr>
            <w:r>
              <w:rPr>
                <w:rFonts w:ascii="Arial" w:cs="Arial" w:eastAsia="Arial" w:hAnsi="Arial"/>
                <w:sz w:val="18"/>
                <w:szCs w:val="18"/>
                <w:color w:val="auto"/>
                <w:w w:val="95"/>
              </w:rPr>
              <w:t>3.4</w:t>
            </w:r>
          </w:p>
        </w:tc>
        <w:tc>
          <w:tcPr>
            <w:tcW w:w="580" w:type="dxa"/>
            <w:vAlign w:val="bottom"/>
            <w:tcBorders>
              <w:bottom w:val="single" w:sz="8" w:color="CFF0FC"/>
            </w:tcBorders>
            <w:shd w:val="clear" w:color="auto" w:fill="CFF0FC"/>
          </w:tcPr>
          <w:p>
            <w:pPr>
              <w:spacing w:after="0"/>
              <w:rPr>
                <w:sz w:val="18"/>
                <w:szCs w:val="18"/>
                <w:color w:val="auto"/>
              </w:rPr>
            </w:pPr>
          </w:p>
        </w:tc>
        <w:tc>
          <w:tcPr>
            <w:tcW w:w="9100" w:type="dxa"/>
            <w:vAlign w:val="bottom"/>
            <w:tcBorders>
              <w:bottom w:val="single" w:sz="8" w:color="0000EE"/>
              <w:right w:val="single" w:sz="8" w:color="CFF0FC"/>
            </w:tcBorders>
            <w:gridSpan w:val="10"/>
            <w:shd w:val="clear" w:color="auto" w:fill="CFF0FC"/>
          </w:tcPr>
          <w:p>
            <w:pPr>
              <w:spacing w:after="0"/>
              <w:rPr>
                <w:rFonts w:ascii="Arial" w:cs="Arial" w:eastAsia="Arial" w:hAnsi="Arial"/>
                <w:sz w:val="18"/>
                <w:szCs w:val="18"/>
                <w:color w:val="0000EE"/>
                <w:w w:val="92"/>
              </w:rPr>
            </w:pPr>
            <w:hyperlink r:id="rId244">
              <w:r>
                <w:rPr>
                  <w:rFonts w:ascii="Arial" w:cs="Arial" w:eastAsia="Arial" w:hAnsi="Arial"/>
                  <w:sz w:val="18"/>
                  <w:szCs w:val="18"/>
                  <w:color w:val="0000EE"/>
                  <w:w w:val="92"/>
                </w:rPr>
                <w:t>Certificate of Formation of Summit Midstream GP, LLC (Incorporated herein by reference to Exhibit 3.4 to SMLP's Form S-1</w:t>
              </w:r>
            </w:hyperlink>
          </w:p>
        </w:tc>
        <w:tc>
          <w:tcPr>
            <w:tcW w:w="680" w:type="dxa"/>
            <w:vAlign w:val="bottom"/>
            <w:tcBorders>
              <w:bottom w:val="single" w:sz="8" w:color="CFF0FC"/>
            </w:tcBorders>
            <w:gridSpan w:val="11"/>
            <w:shd w:val="clear" w:color="auto" w:fill="CFF0FC"/>
          </w:tcPr>
          <w:p>
            <w:pPr>
              <w:spacing w:after="0"/>
              <w:rPr>
                <w:sz w:val="18"/>
                <w:szCs w:val="18"/>
                <w:color w:val="auto"/>
              </w:rPr>
            </w:pPr>
          </w:p>
        </w:tc>
      </w:tr>
      <w:tr>
        <w:trPr>
          <w:trHeight w:val="196"/>
        </w:trPr>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780" w:type="dxa"/>
            <w:vAlign w:val="bottom"/>
            <w:gridSpan w:val="21"/>
            <w:shd w:val="clear" w:color="auto" w:fill="CFF0FC"/>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Registration Statement dated August 21, 2012 (Commission File No. 333-183466))</w:t>
              </w:r>
            </w:hyperlink>
          </w:p>
        </w:tc>
      </w:tr>
      <w:tr>
        <w:trPr>
          <w:trHeight w:val="48"/>
        </w:trPr>
        <w:tc>
          <w:tcPr>
            <w:tcW w:w="88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0000EE"/>
            </w:tcBorders>
            <w:shd w:val="clear" w:color="auto" w:fill="CFF0FC"/>
          </w:tcPr>
          <w:p>
            <w:pPr>
              <w:spacing w:after="0"/>
              <w:rPr>
                <w:sz w:val="4"/>
                <w:szCs w:val="4"/>
                <w:color w:val="auto"/>
              </w:rPr>
            </w:pPr>
          </w:p>
        </w:tc>
        <w:tc>
          <w:tcPr>
            <w:tcW w:w="320" w:type="dxa"/>
            <w:vAlign w:val="bottom"/>
            <w:tcBorders>
              <w:top w:val="single" w:sz="8" w:color="0000EE"/>
            </w:tcBorders>
            <w:shd w:val="clear" w:color="auto" w:fill="CFF0FC"/>
          </w:tcPr>
          <w:p>
            <w:pPr>
              <w:spacing w:after="0"/>
              <w:rPr>
                <w:sz w:val="4"/>
                <w:szCs w:val="4"/>
                <w:color w:val="auto"/>
              </w:rPr>
            </w:pPr>
          </w:p>
        </w:tc>
        <w:tc>
          <w:tcPr>
            <w:tcW w:w="2060" w:type="dxa"/>
            <w:vAlign w:val="bottom"/>
            <w:tcBorders>
              <w:top w:val="single" w:sz="8" w:color="0000EE"/>
            </w:tcBorders>
            <w:shd w:val="clear" w:color="auto" w:fill="CFF0FC"/>
          </w:tcPr>
          <w:p>
            <w:pPr>
              <w:spacing w:after="0"/>
              <w:rPr>
                <w:sz w:val="4"/>
                <w:szCs w:val="4"/>
                <w:color w:val="auto"/>
              </w:rPr>
            </w:pPr>
          </w:p>
        </w:tc>
        <w:tc>
          <w:tcPr>
            <w:tcW w:w="260" w:type="dxa"/>
            <w:vAlign w:val="bottom"/>
            <w:tcBorders>
              <w:top w:val="single" w:sz="8" w:color="0000EE"/>
            </w:tcBorders>
            <w:shd w:val="clear" w:color="auto" w:fill="CFF0FC"/>
          </w:tcPr>
          <w:p>
            <w:pPr>
              <w:spacing w:after="0"/>
              <w:rPr>
                <w:sz w:val="4"/>
                <w:szCs w:val="4"/>
                <w:color w:val="auto"/>
              </w:rPr>
            </w:pPr>
          </w:p>
        </w:tc>
        <w:tc>
          <w:tcPr>
            <w:tcW w:w="2780" w:type="dxa"/>
            <w:vAlign w:val="bottom"/>
            <w:tcBorders>
              <w:top w:val="single" w:sz="8" w:color="0000EE"/>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right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r>
      <w:tr>
        <w:trPr>
          <w:trHeight w:val="257"/>
        </w:trPr>
        <w:tc>
          <w:tcPr>
            <w:tcW w:w="880" w:type="dxa"/>
            <w:vAlign w:val="bottom"/>
          </w:tcPr>
          <w:p>
            <w:pPr>
              <w:jc w:val="center"/>
              <w:ind w:left="110"/>
              <w:spacing w:after="0"/>
              <w:rPr>
                <w:sz w:val="20"/>
                <w:szCs w:val="20"/>
                <w:color w:val="auto"/>
              </w:rPr>
            </w:pPr>
            <w:r>
              <w:rPr>
                <w:rFonts w:ascii="Arial" w:cs="Arial" w:eastAsia="Arial" w:hAnsi="Arial"/>
                <w:sz w:val="18"/>
                <w:szCs w:val="18"/>
                <w:color w:val="auto"/>
                <w:w w:val="95"/>
              </w:rPr>
              <w:t>4.1</w:t>
            </w:r>
          </w:p>
        </w:tc>
        <w:tc>
          <w:tcPr>
            <w:tcW w:w="10360" w:type="dxa"/>
            <w:vAlign w:val="bottom"/>
            <w:gridSpan w:val="22"/>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68">
              <w:r>
                <w:rPr>
                  <w:rFonts w:ascii="Arial" w:cs="Arial" w:eastAsia="Arial" w:hAnsi="Arial"/>
                  <w:sz w:val="18"/>
                  <w:szCs w:val="18"/>
                  <w:u w:val="single" w:color="auto"/>
                  <w:color w:val="0000EE"/>
                </w:rPr>
                <w:t>Description of Common Units</w:t>
              </w:r>
            </w:hyperlink>
          </w:p>
        </w:tc>
      </w:tr>
      <w:tr>
        <w:trPr>
          <w:trHeight w:val="27"/>
        </w:trPr>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880" w:type="dxa"/>
            <w:vAlign w:val="bottom"/>
            <w:tcBorders>
              <w:bottom w:val="single" w:sz="8" w:color="CFF0FC"/>
            </w:tcBorders>
            <w:shd w:val="clear" w:color="auto" w:fill="CFF0FC"/>
          </w:tcPr>
          <w:p>
            <w:pPr>
              <w:jc w:val="center"/>
              <w:ind w:left="110"/>
              <w:spacing w:after="0"/>
              <w:rPr>
                <w:sz w:val="20"/>
                <w:szCs w:val="20"/>
                <w:color w:val="auto"/>
              </w:rPr>
            </w:pPr>
            <w:r>
              <w:rPr>
                <w:rFonts w:ascii="Arial" w:cs="Arial" w:eastAsia="Arial" w:hAnsi="Arial"/>
                <w:sz w:val="18"/>
                <w:szCs w:val="18"/>
                <w:color w:val="auto"/>
                <w:w w:val="95"/>
              </w:rPr>
              <w:t>4.2</w:t>
            </w:r>
          </w:p>
        </w:tc>
        <w:tc>
          <w:tcPr>
            <w:tcW w:w="580" w:type="dxa"/>
            <w:vAlign w:val="bottom"/>
            <w:tcBorders>
              <w:bottom w:val="single" w:sz="8" w:color="CFF0FC"/>
            </w:tcBorders>
            <w:shd w:val="clear" w:color="auto" w:fill="CFF0FC"/>
          </w:tcPr>
          <w:p>
            <w:pPr>
              <w:spacing w:after="0"/>
              <w:rPr>
                <w:sz w:val="18"/>
                <w:szCs w:val="18"/>
                <w:color w:val="auto"/>
              </w:rPr>
            </w:pPr>
          </w:p>
        </w:tc>
        <w:tc>
          <w:tcPr>
            <w:tcW w:w="9180" w:type="dxa"/>
            <w:vAlign w:val="bottom"/>
            <w:tcBorders>
              <w:bottom w:val="single" w:sz="8" w:color="0000EE"/>
            </w:tcBorders>
            <w:gridSpan w:val="11"/>
            <w:shd w:val="clear" w:color="auto" w:fill="CFF0FC"/>
          </w:tcPr>
          <w:p>
            <w:pPr>
              <w:spacing w:after="0"/>
              <w:rPr>
                <w:rFonts w:ascii="Arial" w:cs="Arial" w:eastAsia="Arial" w:hAnsi="Arial"/>
                <w:sz w:val="18"/>
                <w:szCs w:val="18"/>
                <w:color w:val="0000EE"/>
                <w:w w:val="91"/>
              </w:rPr>
            </w:pPr>
            <w:hyperlink r:id="rId245">
              <w:r>
                <w:rPr>
                  <w:rFonts w:ascii="Arial" w:cs="Arial" w:eastAsia="Arial" w:hAnsi="Arial"/>
                  <w:sz w:val="18"/>
                  <w:szCs w:val="18"/>
                  <w:color w:val="0000EE"/>
                  <w:w w:val="91"/>
                </w:rPr>
                <w:t>Investor Rights Agreement, dated as of October 3, 2012, by and among EFS-S, LLC, Summit Midstream GP, LLC and Summit</w:t>
              </w:r>
            </w:hyperlink>
          </w:p>
        </w:tc>
        <w:tc>
          <w:tcPr>
            <w:tcW w:w="600" w:type="dxa"/>
            <w:vAlign w:val="bottom"/>
            <w:tcBorders>
              <w:bottom w:val="single" w:sz="8" w:color="CFF0FC"/>
            </w:tcBorders>
            <w:gridSpan w:val="10"/>
            <w:shd w:val="clear" w:color="auto" w:fill="CFF0FC"/>
          </w:tcPr>
          <w:p>
            <w:pPr>
              <w:spacing w:after="0"/>
              <w:rPr>
                <w:sz w:val="18"/>
                <w:szCs w:val="18"/>
                <w:color w:val="auto"/>
              </w:rPr>
            </w:pPr>
          </w:p>
        </w:tc>
      </w:tr>
      <w:tr>
        <w:trPr>
          <w:trHeight w:val="196"/>
        </w:trPr>
        <w:tc>
          <w:tcPr>
            <w:tcW w:w="8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9500" w:type="dxa"/>
            <w:vAlign w:val="bottom"/>
            <w:tcBorders>
              <w:bottom w:val="single" w:sz="8" w:color="0000EE"/>
            </w:tcBorders>
            <w:gridSpan w:val="14"/>
            <w:shd w:val="clear" w:color="auto" w:fill="CFF0FC"/>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Midstream Partners, LLC (Incorporated herein by reference to Exhibit 4.1 to SMLP's Current Report on Form 8-K dated October 4,</w:t>
              </w:r>
            </w:hyperlink>
          </w:p>
        </w:tc>
        <w:tc>
          <w:tcPr>
            <w:tcW w:w="280" w:type="dxa"/>
            <w:vAlign w:val="bottom"/>
            <w:tcBorders>
              <w:bottom w:val="single" w:sz="8" w:color="CFF0FC"/>
            </w:tcBorders>
            <w:gridSpan w:val="7"/>
            <w:shd w:val="clear" w:color="auto" w:fill="CFF0FC"/>
          </w:tcPr>
          <w:p>
            <w:pPr>
              <w:spacing w:after="0"/>
              <w:rPr>
                <w:sz w:val="17"/>
                <w:szCs w:val="17"/>
                <w:color w:val="auto"/>
              </w:rPr>
            </w:pPr>
          </w:p>
        </w:tc>
      </w:tr>
      <w:tr>
        <w:trPr>
          <w:trHeight w:val="243"/>
        </w:trPr>
        <w:tc>
          <w:tcPr>
            <w:tcW w:w="8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960" w:type="dxa"/>
            <w:vAlign w:val="bottom"/>
            <w:tcBorders>
              <w:bottom w:val="single" w:sz="8" w:color="0000EE"/>
            </w:tcBorders>
            <w:gridSpan w:val="3"/>
            <w:shd w:val="clear" w:color="auto" w:fill="CFF0FC"/>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2012 (Commission File No. 001-35666))</w:t>
              </w:r>
            </w:hyperlink>
          </w:p>
        </w:tc>
        <w:tc>
          <w:tcPr>
            <w:tcW w:w="6820" w:type="dxa"/>
            <w:vAlign w:val="bottom"/>
            <w:tcBorders>
              <w:bottom w:val="single" w:sz="8" w:color="CFF0FC"/>
            </w:tcBorders>
            <w:gridSpan w:val="18"/>
            <w:shd w:val="clear" w:color="auto" w:fill="CFF0FC"/>
          </w:tcPr>
          <w:p>
            <w:pPr>
              <w:spacing w:after="0"/>
              <w:rPr>
                <w:sz w:val="21"/>
                <w:szCs w:val="21"/>
                <w:color w:val="auto"/>
              </w:rPr>
            </w:pPr>
          </w:p>
        </w:tc>
      </w:tr>
      <w:tr>
        <w:trPr>
          <w:trHeight w:val="216"/>
        </w:trPr>
        <w:tc>
          <w:tcPr>
            <w:tcW w:w="880" w:type="dxa"/>
            <w:vAlign w:val="bottom"/>
          </w:tcPr>
          <w:p>
            <w:pPr>
              <w:jc w:val="center"/>
              <w:ind w:left="110"/>
              <w:spacing w:after="0"/>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18"/>
                <w:szCs w:val="18"/>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91"/>
              </w:rPr>
            </w:pPr>
            <w:hyperlink r:id="rId246">
              <w:r>
                <w:rPr>
                  <w:rFonts w:ascii="Arial" w:cs="Arial" w:eastAsia="Arial" w:hAnsi="Arial"/>
                  <w:sz w:val="18"/>
                  <w:szCs w:val="18"/>
                  <w:color w:val="0000EE"/>
                  <w:w w:val="91"/>
                </w:rPr>
                <w:t>Strict Foreclosure Agreement, dated November 17, 2020, by and among Summit Midstream Partners Holdings, LLC, Summit</w:t>
              </w:r>
            </w:hyperlink>
          </w:p>
        </w:tc>
        <w:tc>
          <w:tcPr>
            <w:tcW w:w="680" w:type="dxa"/>
            <w:vAlign w:val="bottom"/>
            <w:gridSpan w:val="11"/>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Midstream Partners, LLC and Credit Suisse AG, Cayman Islands Branch (Incorporated herein by reference to Exhibit 10.1 to SMLP’s</w:t>
              </w:r>
            </w:hyperlink>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Current Report on Form 8-K dated November 17, 2020 (Commission File No. 001-35666))</w:t>
              </w:r>
            </w:hyperlink>
          </w:p>
        </w:tc>
        <w:tc>
          <w:tcPr>
            <w:tcW w:w="120" w:type="dxa"/>
            <w:vAlign w:val="bottom"/>
            <w:gridSpan w:val="4"/>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88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1"/>
              </w:rPr>
              <w:t>10.2</w:t>
            </w:r>
          </w:p>
        </w:tc>
        <w:tc>
          <w:tcPr>
            <w:tcW w:w="580" w:type="dxa"/>
            <w:vAlign w:val="bottom"/>
            <w:shd w:val="clear" w:color="auto" w:fill="CFF0FC"/>
          </w:tcPr>
          <w:p>
            <w:pPr>
              <w:spacing w:after="0"/>
              <w:rPr>
                <w:sz w:val="18"/>
                <w:szCs w:val="18"/>
                <w:color w:val="auto"/>
              </w:rPr>
            </w:pPr>
          </w:p>
        </w:tc>
        <w:tc>
          <w:tcPr>
            <w:tcW w:w="9780" w:type="dxa"/>
            <w:vAlign w:val="bottom"/>
            <w:gridSpan w:val="21"/>
            <w:shd w:val="clear" w:color="auto" w:fill="CFF0FC"/>
          </w:tcPr>
          <w:p>
            <w:pPr>
              <w:spacing w:after="0"/>
              <w:rPr>
                <w:rFonts w:ascii="Arial" w:cs="Arial" w:eastAsia="Arial" w:hAnsi="Arial"/>
                <w:sz w:val="18"/>
                <w:szCs w:val="18"/>
                <w:color w:val="0000EE"/>
                <w:w w:val="99"/>
              </w:rPr>
            </w:pPr>
            <w:hyperlink r:id="rId247">
              <w:r>
                <w:rPr>
                  <w:rFonts w:ascii="Arial" w:cs="Arial" w:eastAsia="Arial" w:hAnsi="Arial"/>
                  <w:sz w:val="18"/>
                  <w:szCs w:val="18"/>
                  <w:color w:val="0000EE"/>
                  <w:w w:val="99"/>
                </w:rPr>
                <w:t>General Assignment and Bill of Sale, dated November 17, 2020, by Summit Midstream Partners Holdings, LLC and Summit</w:t>
              </w:r>
            </w:hyperlink>
          </w:p>
        </w:tc>
      </w:tr>
      <w:tr>
        <w:trPr>
          <w:trHeight w:val="20"/>
        </w:trPr>
        <w:tc>
          <w:tcPr>
            <w:tcW w:w="8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4580" w:type="dxa"/>
            <w:vAlign w:val="bottom"/>
            <w:gridSpan w:val="4"/>
            <w:shd w:val="clear" w:color="auto" w:fill="0000EE"/>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5"/>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gridSpan w:val="3"/>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r>
      <w:tr>
        <w:trPr>
          <w:trHeight w:val="196"/>
        </w:trPr>
        <w:tc>
          <w:tcPr>
            <w:tcW w:w="8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9600" w:type="dxa"/>
            <w:vAlign w:val="bottom"/>
            <w:tcBorders>
              <w:bottom w:val="single" w:sz="8" w:color="0000EE"/>
            </w:tcBorders>
            <w:gridSpan w:val="16"/>
            <w:shd w:val="clear" w:color="auto" w:fill="CFF0FC"/>
          </w:tcPr>
          <w:p>
            <w:pPr>
              <w:spacing w:after="0" w:line="196" w:lineRule="exact"/>
              <w:rPr>
                <w:rFonts w:ascii="Arial" w:cs="Arial" w:eastAsia="Arial" w:hAnsi="Arial"/>
                <w:sz w:val="18"/>
                <w:szCs w:val="18"/>
                <w:color w:val="0000EE"/>
                <w:w w:val="91"/>
              </w:rPr>
            </w:pPr>
            <w:hyperlink r:id="rId247">
              <w:r>
                <w:rPr>
                  <w:rFonts w:ascii="Arial" w:cs="Arial" w:eastAsia="Arial" w:hAnsi="Arial"/>
                  <w:sz w:val="18"/>
                  <w:szCs w:val="18"/>
                  <w:color w:val="0000EE"/>
                  <w:w w:val="91"/>
                </w:rPr>
                <w:t>Midstream Partners, LLC (Incorporated herein by reference to Exhibit 10.2 to SMLP’s Current Report on Form 8-K dated November</w:t>
              </w:r>
            </w:hyperlink>
          </w:p>
        </w:tc>
        <w:tc>
          <w:tcPr>
            <w:tcW w:w="180" w:type="dxa"/>
            <w:vAlign w:val="bottom"/>
            <w:tcBorders>
              <w:bottom w:val="single" w:sz="8" w:color="CFF0FC"/>
            </w:tcBorders>
            <w:gridSpan w:val="5"/>
            <w:shd w:val="clear" w:color="auto" w:fill="CFF0FC"/>
          </w:tcPr>
          <w:p>
            <w:pPr>
              <w:spacing w:after="0"/>
              <w:rPr>
                <w:sz w:val="17"/>
                <w:szCs w:val="17"/>
                <w:color w:val="auto"/>
              </w:rPr>
            </w:pPr>
          </w:p>
        </w:tc>
      </w:tr>
      <w:tr>
        <w:trPr>
          <w:trHeight w:val="196"/>
        </w:trPr>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780" w:type="dxa"/>
            <w:vAlign w:val="bottom"/>
            <w:gridSpan w:val="21"/>
            <w:shd w:val="clear" w:color="auto" w:fill="CFF0FC"/>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17, 2020 (Commission File No. 001-35666))</w:t>
              </w:r>
            </w:hyperlink>
          </w:p>
        </w:tc>
      </w:tr>
      <w:tr>
        <w:trPr>
          <w:trHeight w:val="48"/>
        </w:trPr>
        <w:tc>
          <w:tcPr>
            <w:tcW w:w="88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0000EE"/>
            </w:tcBorders>
            <w:shd w:val="clear" w:color="auto" w:fill="CFF0FC"/>
          </w:tcPr>
          <w:p>
            <w:pPr>
              <w:spacing w:after="0"/>
              <w:rPr>
                <w:sz w:val="4"/>
                <w:szCs w:val="4"/>
                <w:color w:val="auto"/>
              </w:rPr>
            </w:pPr>
          </w:p>
        </w:tc>
        <w:tc>
          <w:tcPr>
            <w:tcW w:w="320" w:type="dxa"/>
            <w:vAlign w:val="bottom"/>
            <w:tcBorders>
              <w:top w:val="single" w:sz="8" w:color="0000EE"/>
            </w:tcBorders>
            <w:shd w:val="clear" w:color="auto" w:fill="CFF0FC"/>
          </w:tcPr>
          <w:p>
            <w:pPr>
              <w:spacing w:after="0"/>
              <w:rPr>
                <w:sz w:val="4"/>
                <w:szCs w:val="4"/>
                <w:color w:val="auto"/>
              </w:rPr>
            </w:pPr>
          </w:p>
        </w:tc>
        <w:tc>
          <w:tcPr>
            <w:tcW w:w="2060" w:type="dxa"/>
            <w:vAlign w:val="bottom"/>
            <w:tcBorders>
              <w:top w:val="single" w:sz="8" w:color="0000EE"/>
            </w:tcBorders>
            <w:shd w:val="clear" w:color="auto" w:fill="CFF0FC"/>
          </w:tcPr>
          <w:p>
            <w:pPr>
              <w:spacing w:after="0"/>
              <w:rPr>
                <w:sz w:val="4"/>
                <w:szCs w:val="4"/>
                <w:color w:val="auto"/>
              </w:rPr>
            </w:pPr>
          </w:p>
        </w:tc>
        <w:tc>
          <w:tcPr>
            <w:tcW w:w="260" w:type="dxa"/>
            <w:vAlign w:val="bottom"/>
            <w:tcBorders>
              <w:top w:val="single" w:sz="8" w:color="0000EE"/>
            </w:tcBorders>
            <w:shd w:val="clear" w:color="auto" w:fill="CFF0FC"/>
          </w:tcPr>
          <w:p>
            <w:pPr>
              <w:spacing w:after="0"/>
              <w:rPr>
                <w:sz w:val="4"/>
                <w:szCs w:val="4"/>
                <w:color w:val="auto"/>
              </w:rPr>
            </w:pPr>
          </w:p>
        </w:tc>
        <w:tc>
          <w:tcPr>
            <w:tcW w:w="278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right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r>
      <w:tr>
        <w:trPr>
          <w:trHeight w:val="216"/>
        </w:trPr>
        <w:tc>
          <w:tcPr>
            <w:tcW w:w="880" w:type="dxa"/>
            <w:vAlign w:val="bottom"/>
          </w:tcPr>
          <w:p>
            <w:pPr>
              <w:jc w:val="center"/>
              <w:ind w:left="110"/>
              <w:spacing w:after="0"/>
              <w:rPr>
                <w:sz w:val="20"/>
                <w:szCs w:val="20"/>
                <w:color w:val="auto"/>
              </w:rPr>
            </w:pPr>
            <w:r>
              <w:rPr>
                <w:rFonts w:ascii="Arial" w:cs="Arial" w:eastAsia="Arial" w:hAnsi="Arial"/>
                <w:sz w:val="18"/>
                <w:szCs w:val="18"/>
                <w:color w:val="auto"/>
                <w:w w:val="91"/>
              </w:rPr>
              <w:t>10.3</w:t>
            </w:r>
          </w:p>
        </w:tc>
        <w:tc>
          <w:tcPr>
            <w:tcW w:w="580" w:type="dxa"/>
            <w:vAlign w:val="bottom"/>
          </w:tcPr>
          <w:p>
            <w:pPr>
              <w:spacing w:after="0"/>
              <w:rPr>
                <w:sz w:val="18"/>
                <w:szCs w:val="18"/>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Mutual Release Agreement, dated November 17, 2020, by and among Summit Midstream Partners Holdings, LLC, Summit Midstream</w:t>
              </w:r>
            </w:hyperlink>
          </w:p>
        </w:tc>
        <w:tc>
          <w:tcPr>
            <w:tcW w:w="40" w:type="dxa"/>
            <w:vAlign w:val="bottom"/>
            <w:gridSpan w:val="2"/>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48">
              <w:r>
                <w:rPr>
                  <w:rFonts w:ascii="Arial" w:cs="Arial" w:eastAsia="Arial" w:hAnsi="Arial"/>
                  <w:sz w:val="18"/>
                  <w:szCs w:val="18"/>
                  <w:color w:val="0000EE"/>
                  <w:w w:val="90"/>
                </w:rPr>
                <w:t>Partners, LLC, the lenders party thereto, and Credit Suisse AG, Cayman Islands Branch (Incorporated herein by reference to Exhibit</w:t>
              </w:r>
            </w:hyperlink>
          </w:p>
        </w:tc>
        <w:tc>
          <w:tcPr>
            <w:tcW w:w="2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SMLP’s Current Report on Form 8-K dated November 17, 2020 (Commission File No. 001-35666)).</w:t>
              </w:r>
            </w:hyperlink>
          </w:p>
        </w:tc>
      </w:tr>
      <w:tr>
        <w:trPr>
          <w:trHeight w:val="480"/>
        </w:trPr>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0" w:type="dxa"/>
            <w:vAlign w:val="bottom"/>
            <w:tcBorders>
              <w:top w:val="single" w:sz="8" w:color="0000EE"/>
            </w:tcBorders>
            <w:gridSpan w:val="5"/>
          </w:tcPr>
          <w:p>
            <w:pPr>
              <w:ind w:left="4020"/>
              <w:spacing w:after="0"/>
              <w:rPr>
                <w:sz w:val="20"/>
                <w:szCs w:val="20"/>
                <w:color w:val="auto"/>
              </w:rPr>
            </w:pPr>
            <w:r>
              <w:rPr>
                <w:rFonts w:ascii="Arial" w:cs="Arial" w:eastAsia="Arial" w:hAnsi="Arial"/>
                <w:sz w:val="18"/>
                <w:szCs w:val="18"/>
                <w:color w:val="auto"/>
              </w:rPr>
              <w:t>162</w:t>
            </w: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546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32" w:lineRule="exact"/>
        <w:rPr>
          <w:sz w:val="20"/>
          <w:szCs w:val="20"/>
          <w:color w:val="auto"/>
        </w:rPr>
      </w:pPr>
    </w:p>
    <w:p>
      <w:pPr>
        <w:ind w:left="1460" w:right="40" w:hanging="1081"/>
        <w:spacing w:after="0" w:line="263"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252">
        <w:r>
          <w:rPr>
            <w:rFonts w:ascii="Arial" w:cs="Arial" w:eastAsia="Arial" w:hAnsi="Arial"/>
            <w:sz w:val="18"/>
            <w:szCs w:val="18"/>
            <w:u w:val="single" w:color="auto"/>
            <w:color w:val="0000EE"/>
          </w:rPr>
          <w:t>Term Loan Credit Agreement, dated May 28, 2020, by and among Summit Midstream Holdings, LLC, as borrower, SMP TopCo, LLC,</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as lender and administrative agent and Mizuho Bank (USA), as collateral agent (Incorporated herein by reference to Exhibit 10.1 to</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SMLP’s Current Report on Form 8-K dated June 2, 2020 (Commission File No. 001-35666))</w:t>
        </w:r>
      </w:hyperlink>
    </w:p>
    <w:p>
      <w:pPr>
        <w:spacing w:after="0" w:line="18"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91"/>
              </w:rPr>
              <w:t>10.5</w:t>
            </w:r>
          </w:p>
        </w:tc>
        <w:tc>
          <w:tcPr>
            <w:tcW w:w="9600" w:type="dxa"/>
            <w:vAlign w:val="bottom"/>
            <w:tcBorders>
              <w:bottom w:val="single" w:sz="8" w:color="0000EE"/>
            </w:tcBorders>
            <w:gridSpan w:val="18"/>
          </w:tcPr>
          <w:p>
            <w:pPr>
              <w:spacing w:after="0"/>
              <w:rPr>
                <w:rFonts w:ascii="Arial" w:cs="Arial" w:eastAsia="Arial" w:hAnsi="Arial"/>
                <w:sz w:val="18"/>
                <w:szCs w:val="18"/>
                <w:color w:val="0000EE"/>
                <w:w w:val="91"/>
              </w:rPr>
            </w:pPr>
            <w:hyperlink r:id="rId253">
              <w:r>
                <w:rPr>
                  <w:rFonts w:ascii="Arial" w:cs="Arial" w:eastAsia="Arial" w:hAnsi="Arial"/>
                  <w:sz w:val="18"/>
                  <w:szCs w:val="18"/>
                  <w:color w:val="0000EE"/>
                  <w:w w:val="91"/>
                </w:rPr>
                <w:t>Term Loan Credit Agreement, dated May 28, 2020, by and among Summit Midstream Holdings, LLC, as borrower, SMLP Holdings,</w:t>
              </w:r>
            </w:hyperlink>
          </w:p>
        </w:tc>
        <w:tc>
          <w:tcPr>
            <w:tcW w:w="180" w:type="dxa"/>
            <w:vAlign w:val="bottom"/>
            <w:gridSpan w:val="4"/>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6"/>
              </w:rPr>
            </w:pPr>
            <w:hyperlink r:id="rId253">
              <w:r>
                <w:rPr>
                  <w:rFonts w:ascii="Arial" w:cs="Arial" w:eastAsia="Arial" w:hAnsi="Arial"/>
                  <w:sz w:val="18"/>
                  <w:szCs w:val="18"/>
                  <w:color w:val="0000EE"/>
                  <w:w w:val="96"/>
                </w:rPr>
                <w:t>LLC, as lender, SMP TopCo, LLC, as administrative agent and Mizuho Bank (USA), as collateral agent (Incorporated herein by</w:t>
              </w:r>
            </w:hyperlink>
          </w:p>
        </w:tc>
      </w:tr>
      <w:tr>
        <w:trPr>
          <w:trHeight w:val="237"/>
        </w:trPr>
        <w:tc>
          <w:tcPr>
            <w:tcW w:w="1460" w:type="dxa"/>
            <w:vAlign w:val="bottom"/>
          </w:tcPr>
          <w:p>
            <w:pPr>
              <w:spacing w:after="0"/>
              <w:rPr>
                <w:sz w:val="20"/>
                <w:szCs w:val="20"/>
                <w:color w:val="auto"/>
              </w:rPr>
            </w:pPr>
          </w:p>
        </w:tc>
        <w:tc>
          <w:tcPr>
            <w:tcW w:w="9220" w:type="dxa"/>
            <w:vAlign w:val="bottom"/>
            <w:tcBorders>
              <w:top w:val="single" w:sz="8" w:color="0000EE"/>
            </w:tcBorders>
            <w:gridSpan w:val="10"/>
          </w:tcPr>
          <w:p>
            <w:pPr>
              <w:spacing w:after="0"/>
              <w:rPr>
                <w:rFonts w:ascii="Arial" w:cs="Arial" w:eastAsia="Arial" w:hAnsi="Arial"/>
                <w:sz w:val="18"/>
                <w:szCs w:val="18"/>
                <w:u w:val="single" w:color="auto"/>
                <w:color w:val="0000EE"/>
                <w:w w:val="96"/>
              </w:rPr>
            </w:pPr>
            <w:hyperlink r:id="rId253">
              <w:r>
                <w:rPr>
                  <w:rFonts w:ascii="Arial" w:cs="Arial" w:eastAsia="Arial" w:hAnsi="Arial"/>
                  <w:sz w:val="18"/>
                  <w:szCs w:val="18"/>
                  <w:u w:val="single" w:color="auto"/>
                  <w:color w:val="0000EE"/>
                  <w:w w:val="96"/>
                </w:rPr>
                <w:t>reference to Exhibit 10.2 to SMLP’s Current Report on Form 8-K dated June 2, 2020 (Commission File No. 001-35666))</w:t>
              </w:r>
            </w:hyperlink>
          </w:p>
        </w:tc>
        <w:tc>
          <w:tcPr>
            <w:tcW w:w="560" w:type="dxa"/>
            <w:vAlign w:val="bottom"/>
            <w:gridSpan w:val="12"/>
          </w:tcPr>
          <w:p>
            <w:pPr>
              <w:spacing w:after="0"/>
              <w:rPr>
                <w:sz w:val="20"/>
                <w:szCs w:val="20"/>
                <w:color w:val="auto"/>
              </w:rPr>
            </w:pP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460" w:type="dxa"/>
            <w:vAlign w:val="bottom"/>
            <w:shd w:val="clear" w:color="auto" w:fill="CFF0FC"/>
          </w:tcPr>
          <w:p>
            <w:pPr>
              <w:jc w:val="center"/>
              <w:ind w:right="290"/>
              <w:spacing w:after="0"/>
              <w:rPr>
                <w:sz w:val="20"/>
                <w:szCs w:val="20"/>
                <w:color w:val="auto"/>
              </w:rPr>
            </w:pPr>
            <w:r>
              <w:rPr>
                <w:rFonts w:ascii="Arial" w:cs="Arial" w:eastAsia="Arial" w:hAnsi="Arial"/>
                <w:sz w:val="18"/>
                <w:szCs w:val="18"/>
                <w:color w:val="auto"/>
                <w:w w:val="91"/>
              </w:rPr>
              <w:t>10.6</w:t>
            </w:r>
          </w:p>
        </w:tc>
        <w:tc>
          <w:tcPr>
            <w:tcW w:w="9780" w:type="dxa"/>
            <w:vAlign w:val="bottom"/>
            <w:gridSpan w:val="22"/>
            <w:shd w:val="clear" w:color="auto" w:fill="CFF0FC"/>
          </w:tcPr>
          <w:p>
            <w:pPr>
              <w:spacing w:after="0"/>
              <w:rPr>
                <w:rFonts w:ascii="Arial" w:cs="Arial" w:eastAsia="Arial" w:hAnsi="Arial"/>
                <w:sz w:val="18"/>
                <w:szCs w:val="18"/>
                <w:color w:val="0000EE"/>
                <w:w w:val="95"/>
              </w:rPr>
            </w:pPr>
            <w:hyperlink r:id="rId254">
              <w:r>
                <w:rPr>
                  <w:rFonts w:ascii="Arial" w:cs="Arial" w:eastAsia="Arial" w:hAnsi="Arial"/>
                  <w:sz w:val="18"/>
                  <w:szCs w:val="18"/>
                  <w:color w:val="0000EE"/>
                  <w:w w:val="95"/>
                </w:rPr>
                <w:t>Guarantee and Collateral Agreement, dated May 28, 2020, by and among Summit Midstream Holdings, LLC, Summit Midstream</w:t>
              </w:r>
            </w:hyperlink>
          </w:p>
        </w:tc>
      </w:tr>
      <w:tr>
        <w:trPr>
          <w:trHeight w:val="20"/>
        </w:trPr>
        <w:tc>
          <w:tcPr>
            <w:tcW w:w="1460" w:type="dxa"/>
            <w:vAlign w:val="bottom"/>
            <w:shd w:val="clear" w:color="auto" w:fill="CFF0FC"/>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9700" w:type="dxa"/>
            <w:vAlign w:val="bottom"/>
            <w:tcBorders>
              <w:bottom w:val="single" w:sz="8" w:color="0000EE"/>
            </w:tcBorders>
            <w:gridSpan w:val="19"/>
            <w:shd w:val="clear" w:color="auto" w:fill="CFF0FC"/>
          </w:tcPr>
          <w:p>
            <w:pPr>
              <w:spacing w:after="0" w:line="19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Partners, LP, the subsidiaries listed therein and Mizuho Bank (USA), as collateral agent, relating to the ECP NewCo Term Loan Credit</w:t>
              </w:r>
            </w:hyperlink>
          </w:p>
        </w:tc>
        <w:tc>
          <w:tcPr>
            <w:tcW w:w="80" w:type="dxa"/>
            <w:vAlign w:val="bottom"/>
            <w:tcBorders>
              <w:bottom w:val="single" w:sz="8" w:color="CFF0FC"/>
            </w:tcBorders>
            <w:gridSpan w:val="3"/>
            <w:shd w:val="clear" w:color="auto" w:fill="CFF0FC"/>
          </w:tcPr>
          <w:p>
            <w:pPr>
              <w:spacing w:after="0"/>
              <w:rPr>
                <w:sz w:val="17"/>
                <w:szCs w:val="17"/>
                <w:color w:val="auto"/>
              </w:rPr>
            </w:pPr>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9740" w:type="dxa"/>
            <w:vAlign w:val="bottom"/>
            <w:tcBorders>
              <w:bottom w:val="single" w:sz="8" w:color="0000EE"/>
            </w:tcBorders>
            <w:gridSpan w:val="21"/>
            <w:shd w:val="clear" w:color="auto" w:fill="CFF0FC"/>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Agreement (Incorporated herein by reference to Exhibit 10.3 to SMLP’s Current Report on Form 8-K dated June 2, 2020 (Commission</w:t>
              </w:r>
            </w:hyperlink>
          </w:p>
        </w:tc>
        <w:tc>
          <w:tcPr>
            <w:tcW w:w="40" w:type="dxa"/>
            <w:vAlign w:val="bottom"/>
            <w:tcBorders>
              <w:bottom w:val="single" w:sz="8" w:color="CFF0FC"/>
            </w:tcBorders>
            <w:shd w:val="clear" w:color="auto" w:fill="CFF0FC"/>
          </w:tcPr>
          <w:p>
            <w:pPr>
              <w:spacing w:after="0"/>
              <w:rPr>
                <w:sz w:val="17"/>
                <w:szCs w:val="17"/>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22"/>
            <w:shd w:val="clear" w:color="auto" w:fill="CFF0FC"/>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File No. 001-35666))</w:t>
              </w:r>
            </w:hyperlink>
          </w:p>
        </w:tc>
      </w:tr>
      <w:tr>
        <w:trPr>
          <w:trHeight w:val="48"/>
        </w:trPr>
        <w:tc>
          <w:tcPr>
            <w:tcW w:w="1460" w:type="dxa"/>
            <w:vAlign w:val="bottom"/>
            <w:tcBorders>
              <w:top w:val="single" w:sz="8" w:color="CFF0FC"/>
            </w:tcBorders>
            <w:shd w:val="clear" w:color="auto" w:fill="CFF0FC"/>
          </w:tcPr>
          <w:p>
            <w:pPr>
              <w:spacing w:after="0"/>
              <w:rPr>
                <w:sz w:val="4"/>
                <w:szCs w:val="4"/>
                <w:color w:val="auto"/>
              </w:rPr>
            </w:pPr>
          </w:p>
        </w:tc>
        <w:tc>
          <w:tcPr>
            <w:tcW w:w="900" w:type="dxa"/>
            <w:vAlign w:val="bottom"/>
            <w:tcBorders>
              <w:top w:val="single" w:sz="8" w:color="0000EE"/>
            </w:tcBorders>
            <w:shd w:val="clear" w:color="auto" w:fill="CFF0FC"/>
          </w:tcPr>
          <w:p>
            <w:pPr>
              <w:spacing w:after="0"/>
              <w:rPr>
                <w:sz w:val="4"/>
                <w:szCs w:val="4"/>
                <w:color w:val="auto"/>
              </w:rPr>
            </w:pPr>
          </w:p>
        </w:tc>
        <w:tc>
          <w:tcPr>
            <w:tcW w:w="640" w:type="dxa"/>
            <w:vAlign w:val="bottom"/>
            <w:tcBorders>
              <w:top w:val="single" w:sz="8" w:color="0000EE"/>
            </w:tcBorders>
            <w:shd w:val="clear" w:color="auto" w:fill="CFF0FC"/>
          </w:tcPr>
          <w:p>
            <w:pPr>
              <w:spacing w:after="0"/>
              <w:rPr>
                <w:sz w:val="4"/>
                <w:szCs w:val="4"/>
                <w:color w:val="auto"/>
              </w:rPr>
            </w:pPr>
          </w:p>
        </w:tc>
        <w:tc>
          <w:tcPr>
            <w:tcW w:w="1020" w:type="dxa"/>
            <w:vAlign w:val="bottom"/>
            <w:tcBorders>
              <w:top w:val="single" w:sz="8" w:color="CFF0FC"/>
            </w:tcBorders>
            <w:shd w:val="clear" w:color="auto" w:fill="CFF0FC"/>
          </w:tcPr>
          <w:p>
            <w:pPr>
              <w:spacing w:after="0"/>
              <w:rPr>
                <w:sz w:val="4"/>
                <w:szCs w:val="4"/>
                <w:color w:val="auto"/>
              </w:rPr>
            </w:pPr>
          </w:p>
        </w:tc>
        <w:tc>
          <w:tcPr>
            <w:tcW w:w="960" w:type="dxa"/>
            <w:vAlign w:val="bottom"/>
            <w:tcBorders>
              <w:top w:val="single" w:sz="8" w:color="CFF0FC"/>
            </w:tcBorders>
            <w:shd w:val="clear" w:color="auto" w:fill="CFF0FC"/>
          </w:tcPr>
          <w:p>
            <w:pPr>
              <w:spacing w:after="0"/>
              <w:rPr>
                <w:sz w:val="4"/>
                <w:szCs w:val="4"/>
                <w:color w:val="auto"/>
              </w:rPr>
            </w:pPr>
          </w:p>
        </w:tc>
        <w:tc>
          <w:tcPr>
            <w:tcW w:w="840" w:type="dxa"/>
            <w:vAlign w:val="bottom"/>
            <w:tcBorders>
              <w:top w:val="single" w:sz="8" w:color="CFF0FC"/>
            </w:tcBorders>
            <w:shd w:val="clear" w:color="auto" w:fill="CFF0FC"/>
          </w:tcPr>
          <w:p>
            <w:pPr>
              <w:spacing w:after="0"/>
              <w:rPr>
                <w:sz w:val="4"/>
                <w:szCs w:val="4"/>
                <w:color w:val="auto"/>
              </w:rPr>
            </w:pPr>
          </w:p>
        </w:tc>
        <w:tc>
          <w:tcPr>
            <w:tcW w:w="1180" w:type="dxa"/>
            <w:vAlign w:val="bottom"/>
            <w:tcBorders>
              <w:top w:val="single" w:sz="8" w:color="CFF0FC"/>
            </w:tcBorders>
            <w:shd w:val="clear" w:color="auto" w:fill="CFF0FC"/>
          </w:tcPr>
          <w:p>
            <w:pPr>
              <w:spacing w:after="0"/>
              <w:rPr>
                <w:sz w:val="4"/>
                <w:szCs w:val="4"/>
                <w:color w:val="auto"/>
              </w:rPr>
            </w:pPr>
          </w:p>
        </w:tc>
        <w:tc>
          <w:tcPr>
            <w:tcW w:w="2460" w:type="dxa"/>
            <w:vAlign w:val="bottom"/>
            <w:tcBorders>
              <w:top w:val="single" w:sz="8" w:color="CFF0FC"/>
            </w:tcBorders>
            <w:shd w:val="clear" w:color="auto" w:fill="CFF0FC"/>
          </w:tcPr>
          <w:p>
            <w:pPr>
              <w:spacing w:after="0"/>
              <w:rPr>
                <w:sz w:val="4"/>
                <w:szCs w:val="4"/>
                <w:color w:val="auto"/>
              </w:rPr>
            </w:pPr>
          </w:p>
        </w:tc>
        <w:tc>
          <w:tcPr>
            <w:tcW w:w="78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right w:val="single" w:sz="8" w:color="CFF0FC"/>
            </w:tcBorders>
            <w:shd w:val="clear" w:color="auto" w:fill="CFF0FC"/>
          </w:tcPr>
          <w:p>
            <w:pPr>
              <w:spacing w:after="0"/>
              <w:rPr>
                <w:sz w:val="4"/>
                <w:szCs w:val="4"/>
                <w:color w:val="auto"/>
              </w:rPr>
            </w:pPr>
          </w:p>
        </w:tc>
        <w:tc>
          <w:tcPr>
            <w:tcW w:w="80" w:type="dxa"/>
            <w:vAlign w:val="bottom"/>
            <w:tcBorders>
              <w:top w:val="single" w:sz="8" w:color="CFF0FC"/>
              <w:lef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r>
      <w:tr>
        <w:trPr>
          <w:trHeight w:val="216"/>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91"/>
              </w:rPr>
              <w:t>10.7</w:t>
            </w:r>
          </w:p>
        </w:tc>
        <w:tc>
          <w:tcPr>
            <w:tcW w:w="9780" w:type="dxa"/>
            <w:vAlign w:val="bottom"/>
            <w:gridSpan w:val="22"/>
          </w:tcPr>
          <w:p>
            <w:pPr>
              <w:spacing w:after="0"/>
              <w:rPr>
                <w:rFonts w:ascii="Arial" w:cs="Arial" w:eastAsia="Arial" w:hAnsi="Arial"/>
                <w:sz w:val="18"/>
                <w:szCs w:val="18"/>
                <w:color w:val="0000EE"/>
                <w:w w:val="95"/>
              </w:rPr>
            </w:pPr>
            <w:hyperlink r:id="rId255">
              <w:r>
                <w:rPr>
                  <w:rFonts w:ascii="Arial" w:cs="Arial" w:eastAsia="Arial" w:hAnsi="Arial"/>
                  <w:sz w:val="18"/>
                  <w:szCs w:val="18"/>
                  <w:color w:val="0000EE"/>
                  <w:w w:val="95"/>
                </w:rPr>
                <w:t>Guarantee and Collateral Agreement, dated May 28, 2020, by and among Summit Midstream Holdings, LLC, Summit Midstream</w:t>
              </w:r>
            </w:hyperlink>
          </w:p>
        </w:tc>
      </w:tr>
      <w:tr>
        <w:trPr>
          <w:trHeight w:val="196"/>
        </w:trPr>
        <w:tc>
          <w:tcPr>
            <w:tcW w:w="146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Partners, LP, the subsidiaries listed therein and Mizuho Bank (USA), as collateral agent, relating to the ECP Holdings Term Loan</w:t>
              </w:r>
            </w:hyperlink>
          </w:p>
        </w:tc>
        <w:tc>
          <w:tcPr>
            <w:tcW w:w="120" w:type="dxa"/>
            <w:vAlign w:val="bottom"/>
            <w:tcBorders>
              <w:top w:val="single" w:sz="8" w:color="0000EE"/>
            </w:tcBorders>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6"/>
              </w:rPr>
            </w:pPr>
            <w:hyperlink r:id="rId255">
              <w:r>
                <w:rPr>
                  <w:rFonts w:ascii="Arial" w:cs="Arial" w:eastAsia="Arial" w:hAnsi="Arial"/>
                  <w:sz w:val="18"/>
                  <w:szCs w:val="18"/>
                  <w:color w:val="0000EE"/>
                  <w:w w:val="96"/>
                </w:rPr>
                <w:t>Credit Agreement (Incorporated herein by reference to Exhibit 10.4 to SMLP’s Current Report on Form 8-K dated June 2, 2020</w:t>
              </w:r>
            </w:hyperlink>
          </w:p>
        </w:tc>
      </w:tr>
      <w:tr>
        <w:trPr>
          <w:trHeight w:val="196"/>
        </w:trPr>
        <w:tc>
          <w:tcPr>
            <w:tcW w:w="1460" w:type="dxa"/>
            <w:vAlign w:val="bottom"/>
          </w:tcPr>
          <w:p>
            <w:pPr>
              <w:spacing w:after="0"/>
              <w:rPr>
                <w:sz w:val="17"/>
                <w:szCs w:val="17"/>
                <w:color w:val="auto"/>
              </w:rPr>
            </w:pPr>
          </w:p>
        </w:tc>
        <w:tc>
          <w:tcPr>
            <w:tcW w:w="9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(Commission File No. 001-35666))</w:t>
              </w:r>
            </w:hyperlink>
          </w:p>
        </w:tc>
        <w:tc>
          <w:tcPr>
            <w:tcW w:w="580" w:type="dxa"/>
            <w:vAlign w:val="bottom"/>
            <w:gridSpan w:val="13"/>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1460" w:type="dxa"/>
            <w:vAlign w:val="bottom"/>
            <w:shd w:val="clear" w:color="auto" w:fill="CFF0FC"/>
          </w:tcPr>
          <w:p>
            <w:pPr>
              <w:jc w:val="center"/>
              <w:ind w:right="290"/>
              <w:spacing w:after="0"/>
              <w:rPr>
                <w:sz w:val="20"/>
                <w:szCs w:val="20"/>
                <w:color w:val="auto"/>
              </w:rPr>
            </w:pPr>
            <w:r>
              <w:rPr>
                <w:rFonts w:ascii="Arial" w:cs="Arial" w:eastAsia="Arial" w:hAnsi="Arial"/>
                <w:sz w:val="18"/>
                <w:szCs w:val="18"/>
                <w:color w:val="auto"/>
                <w:w w:val="91"/>
              </w:rPr>
              <w:t>10.8</w:t>
            </w:r>
          </w:p>
        </w:tc>
        <w:tc>
          <w:tcPr>
            <w:tcW w:w="9780" w:type="dxa"/>
            <w:vAlign w:val="bottom"/>
            <w:gridSpan w:val="22"/>
            <w:shd w:val="clear" w:color="auto" w:fill="CFF0FC"/>
          </w:tcPr>
          <w:p>
            <w:pPr>
              <w:spacing w:after="0"/>
              <w:rPr>
                <w:rFonts w:ascii="Arial" w:cs="Arial" w:eastAsia="Arial" w:hAnsi="Arial"/>
                <w:sz w:val="18"/>
                <w:szCs w:val="18"/>
                <w:color w:val="0000EE"/>
                <w:w w:val="93"/>
              </w:rPr>
            </w:pPr>
            <w:hyperlink r:id="rId256">
              <w:r>
                <w:rPr>
                  <w:rFonts w:ascii="Arial" w:cs="Arial" w:eastAsia="Arial" w:hAnsi="Arial"/>
                  <w:sz w:val="18"/>
                  <w:szCs w:val="18"/>
                  <w:color w:val="0000EE"/>
                  <w:w w:val="93"/>
                </w:rPr>
                <w:t>Pari Passu Intercreditor Agreement, dated as of May 28, 2020, among Wells Fargo Bank, National Association, as Revolving Credit</w:t>
              </w:r>
            </w:hyperlink>
          </w:p>
        </w:tc>
      </w:tr>
      <w:tr>
        <w:trPr>
          <w:trHeight w:val="196"/>
        </w:trPr>
        <w:tc>
          <w:tcPr>
            <w:tcW w:w="1460" w:type="dxa"/>
            <w:vAlign w:val="bottom"/>
            <w:tcBorders>
              <w:top w:val="single" w:sz="8" w:color="CFF0FC"/>
            </w:tcBorders>
            <w:shd w:val="clear" w:color="auto" w:fill="CFF0FC"/>
          </w:tcPr>
          <w:p>
            <w:pPr>
              <w:spacing w:after="0"/>
              <w:rPr>
                <w:sz w:val="17"/>
                <w:szCs w:val="17"/>
                <w:color w:val="auto"/>
              </w:rPr>
            </w:pPr>
          </w:p>
        </w:tc>
        <w:tc>
          <w:tcPr>
            <w:tcW w:w="9440" w:type="dxa"/>
            <w:vAlign w:val="bottom"/>
            <w:tcBorders>
              <w:top w:val="single" w:sz="8" w:color="0000EE"/>
              <w:right w:val="single" w:sz="8" w:color="CFF0FC"/>
            </w:tcBorders>
            <w:gridSpan w:val="15"/>
            <w:shd w:val="clear" w:color="auto" w:fill="CFF0FC"/>
          </w:tcPr>
          <w:p>
            <w:pPr>
              <w:spacing w:after="0" w:line="196" w:lineRule="exact"/>
              <w:rPr>
                <w:rFonts w:ascii="Arial" w:cs="Arial" w:eastAsia="Arial" w:hAnsi="Arial"/>
                <w:sz w:val="18"/>
                <w:szCs w:val="18"/>
                <w:color w:val="0000EE"/>
                <w:w w:val="92"/>
              </w:rPr>
            </w:pPr>
            <w:hyperlink r:id="rId256">
              <w:r>
                <w:rPr>
                  <w:rFonts w:ascii="Arial" w:cs="Arial" w:eastAsia="Arial" w:hAnsi="Arial"/>
                  <w:sz w:val="18"/>
                  <w:szCs w:val="18"/>
                  <w:color w:val="0000EE"/>
                  <w:w w:val="92"/>
                </w:rPr>
                <w:t>Facility Collateral Agent, Mizuho Bank (USA), as NewCo Term Loan Collateral Agent and SMLP Holdings Term Loan Collateral</w:t>
              </w:r>
            </w:hyperlink>
          </w:p>
        </w:tc>
        <w:tc>
          <w:tcPr>
            <w:tcW w:w="340" w:type="dxa"/>
            <w:vAlign w:val="bottom"/>
            <w:tcBorders>
              <w:top w:val="single" w:sz="8" w:color="CFF0FC"/>
              <w:left w:val="single" w:sz="8" w:color="CFF0FC"/>
            </w:tcBorders>
            <w:gridSpan w:val="7"/>
            <w:shd w:val="clear" w:color="auto" w:fill="CFF0FC"/>
          </w:tcPr>
          <w:p>
            <w:pPr>
              <w:spacing w:after="0"/>
              <w:rPr>
                <w:sz w:val="17"/>
                <w:szCs w:val="17"/>
                <w:color w:val="auto"/>
              </w:rPr>
            </w:pPr>
          </w:p>
        </w:tc>
      </w:tr>
      <w:tr>
        <w:trPr>
          <w:trHeight w:val="196"/>
        </w:trPr>
        <w:tc>
          <w:tcPr>
            <w:tcW w:w="1460" w:type="dxa"/>
            <w:vAlign w:val="bottom"/>
            <w:tcBorders>
              <w:top w:val="single" w:sz="8" w:color="CFF0FC"/>
            </w:tcBorders>
            <w:shd w:val="clear" w:color="auto" w:fill="CFF0FC"/>
          </w:tcPr>
          <w:p>
            <w:pPr>
              <w:spacing w:after="0"/>
              <w:rPr>
                <w:sz w:val="17"/>
                <w:szCs w:val="17"/>
                <w:color w:val="auto"/>
              </w:rPr>
            </w:pPr>
          </w:p>
        </w:tc>
        <w:tc>
          <w:tcPr>
            <w:tcW w:w="9440" w:type="dxa"/>
            <w:vAlign w:val="bottom"/>
            <w:tcBorders>
              <w:top w:val="single" w:sz="8" w:color="0000EE"/>
              <w:right w:val="single" w:sz="8" w:color="CFF0FC"/>
            </w:tcBorders>
            <w:gridSpan w:val="15"/>
            <w:shd w:val="clear" w:color="auto" w:fill="CFF0FC"/>
          </w:tcPr>
          <w:p>
            <w:pPr>
              <w:spacing w:after="0" w:line="196" w:lineRule="exact"/>
              <w:rPr>
                <w:rFonts w:ascii="Arial" w:cs="Arial" w:eastAsia="Arial" w:hAnsi="Arial"/>
                <w:sz w:val="18"/>
                <w:szCs w:val="18"/>
                <w:color w:val="0000EE"/>
                <w:w w:val="92"/>
              </w:rPr>
            </w:pPr>
            <w:hyperlink r:id="rId256">
              <w:r>
                <w:rPr>
                  <w:rFonts w:ascii="Arial" w:cs="Arial" w:eastAsia="Arial" w:hAnsi="Arial"/>
                  <w:sz w:val="18"/>
                  <w:szCs w:val="18"/>
                  <w:color w:val="0000EE"/>
                  <w:w w:val="92"/>
                </w:rPr>
                <w:t>Agent, Summit Midstream Holdings, LLC and other grantors from time to time party thereto (Incorporated herein by reference to</w:t>
              </w:r>
            </w:hyperlink>
          </w:p>
        </w:tc>
        <w:tc>
          <w:tcPr>
            <w:tcW w:w="340" w:type="dxa"/>
            <w:vAlign w:val="bottom"/>
            <w:tcBorders>
              <w:top w:val="single" w:sz="8" w:color="CFF0FC"/>
              <w:left w:val="single" w:sz="8" w:color="CFF0FC"/>
            </w:tcBorders>
            <w:gridSpan w:val="7"/>
            <w:shd w:val="clear" w:color="auto" w:fill="CFF0FC"/>
          </w:tcPr>
          <w:p>
            <w:pPr>
              <w:spacing w:after="0"/>
              <w:rPr>
                <w:sz w:val="17"/>
                <w:szCs w:val="17"/>
                <w:color w:val="auto"/>
              </w:rPr>
            </w:pPr>
          </w:p>
        </w:tc>
      </w:tr>
      <w:tr>
        <w:trPr>
          <w:trHeight w:val="243"/>
        </w:trPr>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9320" w:type="dxa"/>
            <w:vAlign w:val="bottom"/>
            <w:tcBorders>
              <w:top w:val="single" w:sz="8" w:color="0000EE"/>
              <w:bottom w:val="single" w:sz="8" w:color="CFF0FC"/>
            </w:tcBorders>
            <w:gridSpan w:val="14"/>
            <w:shd w:val="clear" w:color="auto" w:fill="CFF0FC"/>
          </w:tcPr>
          <w:p>
            <w:pPr>
              <w:spacing w:after="0"/>
              <w:rPr>
                <w:rFonts w:ascii="Arial" w:cs="Arial" w:eastAsia="Arial" w:hAnsi="Arial"/>
                <w:sz w:val="18"/>
                <w:szCs w:val="18"/>
                <w:u w:val="single" w:color="auto"/>
                <w:color w:val="0000EE"/>
              </w:rPr>
            </w:pPr>
            <w:hyperlink r:id="rId256">
              <w:r>
                <w:rPr>
                  <w:rFonts w:ascii="Arial" w:cs="Arial" w:eastAsia="Arial" w:hAnsi="Arial"/>
                  <w:sz w:val="18"/>
                  <w:szCs w:val="18"/>
                  <w:u w:val="single" w:color="auto"/>
                  <w:color w:val="0000EE"/>
                </w:rPr>
                <w:t>Exhibit 10.5 to SMLP’s Current Report on Form 8-K dated June 2, 2020 (Commission File No. 001-35666))</w:t>
              </w:r>
            </w:hyperlink>
          </w:p>
        </w:tc>
        <w:tc>
          <w:tcPr>
            <w:tcW w:w="460" w:type="dxa"/>
            <w:vAlign w:val="bottom"/>
            <w:tcBorders>
              <w:top w:val="single" w:sz="8" w:color="CFF0FC"/>
              <w:bottom w:val="single" w:sz="8" w:color="CFF0FC"/>
            </w:tcBorders>
            <w:gridSpan w:val="8"/>
            <w:shd w:val="clear" w:color="auto" w:fill="CFF0FC"/>
          </w:tcPr>
          <w:p>
            <w:pPr>
              <w:spacing w:after="0"/>
              <w:rPr>
                <w:sz w:val="21"/>
                <w:szCs w:val="21"/>
                <w:color w:val="auto"/>
              </w:rPr>
            </w:pPr>
          </w:p>
        </w:tc>
      </w:tr>
      <w:tr>
        <w:trPr>
          <w:trHeight w:val="216"/>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91"/>
              </w:rPr>
              <w:t>10.9</w:t>
            </w:r>
          </w:p>
        </w:tc>
        <w:tc>
          <w:tcPr>
            <w:tcW w:w="9780" w:type="dxa"/>
            <w:vAlign w:val="bottom"/>
            <w:gridSpan w:val="22"/>
          </w:tcPr>
          <w:p>
            <w:pPr>
              <w:spacing w:after="0"/>
              <w:rPr>
                <w:rFonts w:ascii="Arial" w:cs="Arial" w:eastAsia="Arial" w:hAnsi="Arial"/>
                <w:sz w:val="18"/>
                <w:szCs w:val="18"/>
                <w:color w:val="0000EE"/>
                <w:w w:val="93"/>
              </w:rPr>
            </w:pPr>
            <w:hyperlink r:id="rId257">
              <w:r>
                <w:rPr>
                  <w:rFonts w:ascii="Arial" w:cs="Arial" w:eastAsia="Arial" w:hAnsi="Arial"/>
                  <w:sz w:val="18"/>
                  <w:szCs w:val="18"/>
                  <w:color w:val="0000EE"/>
                  <w:w w:val="93"/>
                </w:rPr>
                <w:t>Warrant to Purchase Common Units, dated May 28, 2020, from Summit Midstream Partners, LP to SMP TopCo, LLC (Incorporated</w:t>
              </w:r>
            </w:hyperlink>
          </w:p>
        </w:tc>
      </w:tr>
      <w:tr>
        <w:trPr>
          <w:trHeight w:val="237"/>
        </w:trPr>
        <w:tc>
          <w:tcPr>
            <w:tcW w:w="1460" w:type="dxa"/>
            <w:vAlign w:val="bottom"/>
          </w:tcPr>
          <w:p>
            <w:pPr>
              <w:spacing w:after="0"/>
              <w:rPr>
                <w:sz w:val="20"/>
                <w:szCs w:val="20"/>
                <w:color w:val="auto"/>
              </w:rPr>
            </w:pPr>
          </w:p>
        </w:tc>
        <w:tc>
          <w:tcPr>
            <w:tcW w:w="9520" w:type="dxa"/>
            <w:vAlign w:val="bottom"/>
            <w:tcBorders>
              <w:top w:val="single" w:sz="8" w:color="0000EE"/>
            </w:tcBorders>
            <w:gridSpan w:val="16"/>
          </w:tcPr>
          <w:p>
            <w:pPr>
              <w:spacing w:after="0"/>
              <w:rPr>
                <w:rFonts w:ascii="Arial" w:cs="Arial" w:eastAsia="Arial" w:hAnsi="Arial"/>
                <w:sz w:val="18"/>
                <w:szCs w:val="18"/>
                <w:u w:val="single" w:color="auto"/>
                <w:color w:val="0000EE"/>
                <w:w w:val="92"/>
              </w:rPr>
            </w:pPr>
            <w:hyperlink r:id="rId257">
              <w:r>
                <w:rPr>
                  <w:rFonts w:ascii="Arial" w:cs="Arial" w:eastAsia="Arial" w:hAnsi="Arial"/>
                  <w:sz w:val="18"/>
                  <w:szCs w:val="18"/>
                  <w:u w:val="single" w:color="auto"/>
                  <w:color w:val="0000EE"/>
                  <w:w w:val="92"/>
                </w:rPr>
                <w:t>herein by reference to Exhibit 10.6 to SMLP’s Current Report on Form 8-K dated June 2, 2020 (Commission File No. 001-35666))</w:t>
              </w:r>
            </w:hyperlink>
          </w:p>
        </w:tc>
        <w:tc>
          <w:tcPr>
            <w:tcW w:w="260" w:type="dxa"/>
            <w:vAlign w:val="bottom"/>
            <w:gridSpan w:val="6"/>
          </w:tcPr>
          <w:p>
            <w:pPr>
              <w:spacing w:after="0"/>
              <w:rPr>
                <w:sz w:val="20"/>
                <w:szCs w:val="20"/>
                <w:color w:val="auto"/>
              </w:rPr>
            </w:pP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460" w:type="dxa"/>
            <w:vAlign w:val="bottom"/>
            <w:shd w:val="clear" w:color="auto" w:fill="CFF0FC"/>
          </w:tcPr>
          <w:p>
            <w:pPr>
              <w:jc w:val="center"/>
              <w:ind w:right="290"/>
              <w:spacing w:after="0"/>
              <w:rPr>
                <w:sz w:val="20"/>
                <w:szCs w:val="20"/>
                <w:color w:val="auto"/>
              </w:rPr>
            </w:pPr>
            <w:r>
              <w:rPr>
                <w:rFonts w:ascii="Arial" w:cs="Arial" w:eastAsia="Arial" w:hAnsi="Arial"/>
                <w:sz w:val="18"/>
                <w:szCs w:val="18"/>
                <w:color w:val="auto"/>
                <w:w w:val="88"/>
              </w:rPr>
              <w:t>10.10</w:t>
            </w:r>
          </w:p>
        </w:tc>
        <w:tc>
          <w:tcPr>
            <w:tcW w:w="9780" w:type="dxa"/>
            <w:vAlign w:val="bottom"/>
            <w:gridSpan w:val="22"/>
            <w:shd w:val="clear" w:color="auto" w:fill="CFF0FC"/>
          </w:tcPr>
          <w:p>
            <w:pPr>
              <w:spacing w:after="0"/>
              <w:rPr>
                <w:rFonts w:ascii="Arial" w:cs="Arial" w:eastAsia="Arial" w:hAnsi="Arial"/>
                <w:sz w:val="18"/>
                <w:szCs w:val="18"/>
                <w:color w:val="0000EE"/>
              </w:rPr>
            </w:pPr>
            <w:hyperlink r:id="rId258">
              <w:r>
                <w:rPr>
                  <w:rFonts w:ascii="Arial" w:cs="Arial" w:eastAsia="Arial" w:hAnsi="Arial"/>
                  <w:sz w:val="18"/>
                  <w:szCs w:val="18"/>
                  <w:color w:val="0000EE"/>
                </w:rPr>
                <w:t>Warrant to Purchase Common Units, dated May 28, 2020, from Summit Midstream Partners, LP to SMLP Holdings, LLC</w:t>
              </w:r>
            </w:hyperlink>
          </w:p>
        </w:tc>
      </w:tr>
      <w:tr>
        <w:trPr>
          <w:trHeight w:val="20"/>
        </w:trPr>
        <w:tc>
          <w:tcPr>
            <w:tcW w:w="1460" w:type="dxa"/>
            <w:vAlign w:val="bottom"/>
            <w:shd w:val="clear" w:color="auto" w:fill="CFF0FC"/>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3"/>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gridSpan w:val="2"/>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22"/>
            <w:shd w:val="clear" w:color="auto" w:fill="CFF0FC"/>
          </w:tcPr>
          <w:p>
            <w:pPr>
              <w:spacing w:after="0" w:line="196" w:lineRule="exact"/>
              <w:rPr>
                <w:rFonts w:ascii="Arial" w:cs="Arial" w:eastAsia="Arial" w:hAnsi="Arial"/>
                <w:sz w:val="18"/>
                <w:szCs w:val="18"/>
                <w:color w:val="0000EE"/>
                <w:w w:val="93"/>
              </w:rPr>
            </w:pPr>
            <w:hyperlink r:id="rId258">
              <w:r>
                <w:rPr>
                  <w:rFonts w:ascii="Arial" w:cs="Arial" w:eastAsia="Arial" w:hAnsi="Arial"/>
                  <w:sz w:val="18"/>
                  <w:szCs w:val="18"/>
                  <w:color w:val="0000EE"/>
                  <w:w w:val="93"/>
                </w:rPr>
                <w:t>(Incorporated herein by reference to Exhibit 10.7 to SMLP’s Current Report on Form 8-K dated June 2, 2020 (Commission File No.</w:t>
              </w:r>
            </w:hyperlink>
          </w:p>
        </w:tc>
      </w:tr>
      <w:tr>
        <w:trPr>
          <w:trHeight w:val="248"/>
        </w:trPr>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0000EE"/>
              <w:bottom w:val="single" w:sz="8" w:color="0000EE"/>
            </w:tcBorders>
            <w:shd w:val="clear" w:color="auto" w:fill="CFF0FC"/>
          </w:tcPr>
          <w:p>
            <w:pPr>
              <w:spacing w:after="0" w:line="196"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001-35666))</w:t>
              </w:r>
            </w:hyperlink>
          </w:p>
        </w:tc>
        <w:tc>
          <w:tcPr>
            <w:tcW w:w="640" w:type="dxa"/>
            <w:vAlign w:val="bottom"/>
            <w:tcBorders>
              <w:top w:val="single" w:sz="8" w:color="0000EE"/>
              <w:bottom w:val="single" w:sz="8" w:color="CFF0FC"/>
            </w:tcBorders>
            <w:shd w:val="clear" w:color="auto" w:fill="CFF0FC"/>
          </w:tcPr>
          <w:p>
            <w:pPr>
              <w:spacing w:after="0"/>
              <w:rPr>
                <w:sz w:val="21"/>
                <w:szCs w:val="21"/>
                <w:color w:val="auto"/>
              </w:rPr>
            </w:pPr>
          </w:p>
        </w:tc>
        <w:tc>
          <w:tcPr>
            <w:tcW w:w="1020" w:type="dxa"/>
            <w:vAlign w:val="bottom"/>
            <w:tcBorders>
              <w:top w:val="single" w:sz="8" w:color="0000EE"/>
              <w:bottom w:val="single" w:sz="8" w:color="CFF0FC"/>
            </w:tcBorders>
            <w:shd w:val="clear" w:color="auto" w:fill="CFF0FC"/>
          </w:tcPr>
          <w:p>
            <w:pPr>
              <w:spacing w:after="0"/>
              <w:rPr>
                <w:sz w:val="21"/>
                <w:szCs w:val="21"/>
                <w:color w:val="auto"/>
              </w:rPr>
            </w:pPr>
          </w:p>
        </w:tc>
        <w:tc>
          <w:tcPr>
            <w:tcW w:w="960" w:type="dxa"/>
            <w:vAlign w:val="bottom"/>
            <w:tcBorders>
              <w:top w:val="single" w:sz="8" w:color="0000EE"/>
              <w:bottom w:val="single" w:sz="8" w:color="CFF0FC"/>
            </w:tcBorders>
            <w:shd w:val="clear" w:color="auto" w:fill="CFF0FC"/>
          </w:tcPr>
          <w:p>
            <w:pPr>
              <w:spacing w:after="0"/>
              <w:rPr>
                <w:sz w:val="21"/>
                <w:szCs w:val="21"/>
                <w:color w:val="auto"/>
              </w:rPr>
            </w:pPr>
          </w:p>
        </w:tc>
        <w:tc>
          <w:tcPr>
            <w:tcW w:w="840" w:type="dxa"/>
            <w:vAlign w:val="bottom"/>
            <w:tcBorders>
              <w:top w:val="single" w:sz="8" w:color="0000EE"/>
              <w:bottom w:val="single" w:sz="8" w:color="CFF0FC"/>
            </w:tcBorders>
            <w:shd w:val="clear" w:color="auto" w:fill="CFF0FC"/>
          </w:tcPr>
          <w:p>
            <w:pPr>
              <w:spacing w:after="0"/>
              <w:rPr>
                <w:sz w:val="21"/>
                <w:szCs w:val="21"/>
                <w:color w:val="auto"/>
              </w:rPr>
            </w:pPr>
          </w:p>
        </w:tc>
        <w:tc>
          <w:tcPr>
            <w:tcW w:w="1180" w:type="dxa"/>
            <w:vAlign w:val="bottom"/>
            <w:tcBorders>
              <w:top w:val="single" w:sz="8" w:color="0000EE"/>
              <w:bottom w:val="single" w:sz="8" w:color="CFF0FC"/>
            </w:tcBorders>
            <w:shd w:val="clear" w:color="auto" w:fill="CFF0FC"/>
          </w:tcPr>
          <w:p>
            <w:pPr>
              <w:spacing w:after="0"/>
              <w:rPr>
                <w:sz w:val="21"/>
                <w:szCs w:val="21"/>
                <w:color w:val="auto"/>
              </w:rPr>
            </w:pPr>
          </w:p>
        </w:tc>
        <w:tc>
          <w:tcPr>
            <w:tcW w:w="2460" w:type="dxa"/>
            <w:vAlign w:val="bottom"/>
            <w:tcBorders>
              <w:top w:val="single" w:sz="8" w:color="0000EE"/>
              <w:bottom w:val="single" w:sz="8" w:color="CFF0FC"/>
            </w:tcBorders>
            <w:shd w:val="clear" w:color="auto" w:fill="CFF0FC"/>
          </w:tcPr>
          <w:p>
            <w:pPr>
              <w:spacing w:after="0"/>
              <w:rPr>
                <w:sz w:val="21"/>
                <w:szCs w:val="21"/>
                <w:color w:val="auto"/>
              </w:rPr>
            </w:pPr>
          </w:p>
        </w:tc>
        <w:tc>
          <w:tcPr>
            <w:tcW w:w="780" w:type="dxa"/>
            <w:vAlign w:val="bottom"/>
            <w:tcBorders>
              <w:top w:val="single" w:sz="8" w:color="0000EE"/>
              <w:bottom w:val="single" w:sz="8" w:color="CFF0FC"/>
            </w:tcBorders>
            <w:shd w:val="clear" w:color="auto" w:fill="CFF0FC"/>
          </w:tcPr>
          <w:p>
            <w:pPr>
              <w:spacing w:after="0"/>
              <w:rPr>
                <w:sz w:val="21"/>
                <w:szCs w:val="21"/>
                <w:color w:val="auto"/>
              </w:rPr>
            </w:pPr>
          </w:p>
        </w:tc>
        <w:tc>
          <w:tcPr>
            <w:tcW w:w="4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0000EE"/>
              <w:bottom w:val="single" w:sz="8" w:color="CFF0FC"/>
            </w:tcBorders>
            <w:shd w:val="clear" w:color="auto" w:fill="CFF0FC"/>
          </w:tcPr>
          <w:p>
            <w:pPr>
              <w:spacing w:after="0"/>
              <w:rPr>
                <w:sz w:val="21"/>
                <w:szCs w:val="21"/>
                <w:color w:val="auto"/>
              </w:rPr>
            </w:pPr>
          </w:p>
        </w:tc>
        <w:tc>
          <w:tcPr>
            <w:tcW w:w="120" w:type="dxa"/>
            <w:vAlign w:val="bottom"/>
            <w:tcBorders>
              <w:top w:val="single" w:sz="8" w:color="0000EE"/>
              <w:bottom w:val="single" w:sz="8" w:color="CFF0FC"/>
              <w:right w:val="single" w:sz="8" w:color="CFF0FC"/>
            </w:tcBorders>
            <w:shd w:val="clear" w:color="auto" w:fill="CFF0FC"/>
          </w:tcPr>
          <w:p>
            <w:pPr>
              <w:spacing w:after="0"/>
              <w:rPr>
                <w:sz w:val="21"/>
                <w:szCs w:val="21"/>
                <w:color w:val="auto"/>
              </w:rPr>
            </w:pPr>
          </w:p>
        </w:tc>
        <w:tc>
          <w:tcPr>
            <w:tcW w:w="80" w:type="dxa"/>
            <w:vAlign w:val="bottom"/>
            <w:tcBorders>
              <w:top w:val="single" w:sz="8" w:color="0000EE"/>
              <w:left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6"/>
        </w:trPr>
        <w:tc>
          <w:tcPr>
            <w:tcW w:w="1460" w:type="dxa"/>
            <w:vAlign w:val="bottom"/>
            <w:tcBorders>
              <w:top w:val="single" w:sz="8" w:color="CFF0FC"/>
            </w:tcBorders>
          </w:tcPr>
          <w:p>
            <w:pPr>
              <w:jc w:val="center"/>
              <w:ind w:right="290"/>
              <w:spacing w:after="0"/>
              <w:rPr>
                <w:sz w:val="20"/>
                <w:szCs w:val="20"/>
                <w:color w:val="auto"/>
              </w:rPr>
            </w:pPr>
            <w:r>
              <w:rPr>
                <w:rFonts w:ascii="Arial" w:cs="Arial" w:eastAsia="Arial" w:hAnsi="Arial"/>
                <w:sz w:val="18"/>
                <w:szCs w:val="18"/>
                <w:color w:val="auto"/>
                <w:w w:val="88"/>
              </w:rPr>
              <w:t>10.11</w:t>
            </w:r>
          </w:p>
        </w:tc>
        <w:tc>
          <w:tcPr>
            <w:tcW w:w="9780" w:type="dxa"/>
            <w:vAlign w:val="bottom"/>
            <w:tcBorders>
              <w:top w:val="single" w:sz="8" w:color="CFF0FC"/>
            </w:tcBorders>
            <w:gridSpan w:val="22"/>
          </w:tcPr>
          <w:p>
            <w:pPr>
              <w:spacing w:after="0"/>
              <w:rPr>
                <w:rFonts w:ascii="Arial" w:cs="Arial" w:eastAsia="Arial" w:hAnsi="Arial"/>
                <w:sz w:val="18"/>
                <w:szCs w:val="18"/>
                <w:color w:val="0000EE"/>
                <w:w w:val="93"/>
              </w:rPr>
            </w:pPr>
            <w:hyperlink r:id="rId259">
              <w:r>
                <w:rPr>
                  <w:rFonts w:ascii="Arial" w:cs="Arial" w:eastAsia="Arial" w:hAnsi="Arial"/>
                  <w:sz w:val="18"/>
                  <w:szCs w:val="18"/>
                  <w:color w:val="0000EE"/>
                  <w:w w:val="93"/>
                </w:rPr>
                <w:t>Operation and Management Services Agreement, dated May 28, 2020, by and among Summit Midstream Partners, LP and Summit</w:t>
              </w:r>
            </w:hyperlink>
          </w:p>
        </w:tc>
      </w:tr>
      <w:tr>
        <w:trPr>
          <w:trHeight w:val="20"/>
        </w:trPr>
        <w:tc>
          <w:tcPr>
            <w:tcW w:w="1460" w:type="dxa"/>
            <w:vAlign w:val="bottom"/>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4"/>
              </w:rPr>
            </w:pPr>
            <w:hyperlink r:id="rId259">
              <w:r>
                <w:rPr>
                  <w:rFonts w:ascii="Arial" w:cs="Arial" w:eastAsia="Arial" w:hAnsi="Arial"/>
                  <w:sz w:val="18"/>
                  <w:szCs w:val="18"/>
                  <w:color w:val="0000EE"/>
                  <w:w w:val="94"/>
                </w:rPr>
                <w:t>Operating Services Company, LLC (Incorporated herein by reference to Exhibit 10.8 to SMLP’s Current Report on Form 8-K dated</w:t>
              </w:r>
            </w:hyperlink>
          </w:p>
        </w:tc>
      </w:tr>
      <w:tr>
        <w:trPr>
          <w:trHeight w:val="196"/>
        </w:trPr>
        <w:tc>
          <w:tcPr>
            <w:tcW w:w="1460" w:type="dxa"/>
            <w:vAlign w:val="bottom"/>
          </w:tcPr>
          <w:p>
            <w:pPr>
              <w:spacing w:after="0"/>
              <w:rPr>
                <w:sz w:val="17"/>
                <w:szCs w:val="17"/>
                <w:color w:val="auto"/>
              </w:rPr>
            </w:pPr>
          </w:p>
        </w:tc>
        <w:tc>
          <w:tcPr>
            <w:tcW w:w="9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June 2, 2020 (Commission File No. 001-35666))</w:t>
              </w:r>
            </w:hyperlink>
          </w:p>
        </w:tc>
        <w:tc>
          <w:tcPr>
            <w:tcW w:w="340" w:type="dxa"/>
            <w:vAlign w:val="bottom"/>
            <w:gridSpan w:val="7"/>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center"/>
              <w:ind w:right="290"/>
              <w:spacing w:after="0"/>
              <w:rPr>
                <w:sz w:val="20"/>
                <w:szCs w:val="20"/>
                <w:color w:val="auto"/>
              </w:rPr>
            </w:pPr>
            <w:r>
              <w:rPr>
                <w:rFonts w:ascii="Arial" w:cs="Arial" w:eastAsia="Arial" w:hAnsi="Arial"/>
                <w:sz w:val="18"/>
                <w:szCs w:val="18"/>
                <w:color w:val="auto"/>
                <w:w w:val="88"/>
              </w:rPr>
              <w:t>10.12</w:t>
            </w:r>
          </w:p>
        </w:tc>
        <w:tc>
          <w:tcPr>
            <w:tcW w:w="9720" w:type="dxa"/>
            <w:vAlign w:val="bottom"/>
            <w:tcBorders>
              <w:bottom w:val="single" w:sz="8" w:color="0000EE"/>
            </w:tcBorders>
            <w:gridSpan w:val="20"/>
            <w:shd w:val="clear" w:color="auto" w:fill="CFF0FC"/>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Term Loan Agreement, dated as of March 21, 2017, among Summit Midstream Partners Holdings, LLC, as borrower, the lenders party</w:t>
              </w:r>
            </w:hyperlink>
          </w:p>
        </w:tc>
        <w:tc>
          <w:tcPr>
            <w:tcW w:w="60" w:type="dxa"/>
            <w:vAlign w:val="bottom"/>
            <w:tcBorders>
              <w:bottom w:val="single" w:sz="8" w:color="CFF0FC"/>
            </w:tcBorders>
            <w:gridSpan w:val="2"/>
            <w:shd w:val="clear" w:color="auto" w:fill="CFF0FC"/>
          </w:tcPr>
          <w:p>
            <w:pPr>
              <w:spacing w:after="0"/>
              <w:rPr>
                <w:sz w:val="18"/>
                <w:szCs w:val="18"/>
                <w:color w:val="auto"/>
              </w:rPr>
            </w:pPr>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9780" w:type="dxa"/>
            <w:vAlign w:val="bottom"/>
            <w:tcBorders>
              <w:bottom w:val="single" w:sz="8" w:color="0000EE"/>
            </w:tcBorders>
            <w:gridSpan w:val="22"/>
            <w:shd w:val="clear" w:color="auto" w:fill="CFF0FC"/>
          </w:tcPr>
          <w:p>
            <w:pPr>
              <w:spacing w:after="0" w:line="196" w:lineRule="exact"/>
              <w:rPr>
                <w:rFonts w:ascii="Arial" w:cs="Arial" w:eastAsia="Arial" w:hAnsi="Arial"/>
                <w:sz w:val="18"/>
                <w:szCs w:val="18"/>
                <w:color w:val="0000EE"/>
                <w:w w:val="90"/>
              </w:rPr>
            </w:pPr>
            <w:hyperlink r:id="rId260">
              <w:r>
                <w:rPr>
                  <w:rFonts w:ascii="Arial" w:cs="Arial" w:eastAsia="Arial" w:hAnsi="Arial"/>
                  <w:sz w:val="18"/>
                  <w:szCs w:val="18"/>
                  <w:color w:val="0000EE"/>
                  <w:w w:val="90"/>
                </w:rPr>
                <w:t>thereto and Credit Suisse AG, Cayman Islands Branch, as Administrative Agent and Collateral Agent (Incorporated herein by reference</w:t>
              </w:r>
            </w:hyperlink>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22"/>
            <w:shd w:val="clear" w:color="auto" w:fill="CFF0FC"/>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to Exhibit 10.9 to SMLP’s Current Report on Form 8-K dated June 2, 2020 (Commission File No. 001-35666))</w:t>
              </w:r>
            </w:hyperlink>
          </w:p>
        </w:tc>
      </w:tr>
      <w:tr>
        <w:trPr>
          <w:trHeight w:val="48"/>
        </w:trPr>
        <w:tc>
          <w:tcPr>
            <w:tcW w:w="1460" w:type="dxa"/>
            <w:vAlign w:val="bottom"/>
            <w:tcBorders>
              <w:top w:val="single" w:sz="8" w:color="CFF0FC"/>
            </w:tcBorders>
            <w:shd w:val="clear" w:color="auto" w:fill="CFF0FC"/>
          </w:tcPr>
          <w:p>
            <w:pPr>
              <w:spacing w:after="0"/>
              <w:rPr>
                <w:sz w:val="4"/>
                <w:szCs w:val="4"/>
                <w:color w:val="auto"/>
              </w:rPr>
            </w:pPr>
          </w:p>
        </w:tc>
        <w:tc>
          <w:tcPr>
            <w:tcW w:w="900" w:type="dxa"/>
            <w:vAlign w:val="bottom"/>
            <w:tcBorders>
              <w:top w:val="single" w:sz="8" w:color="0000EE"/>
            </w:tcBorders>
            <w:shd w:val="clear" w:color="auto" w:fill="CFF0FC"/>
          </w:tcPr>
          <w:p>
            <w:pPr>
              <w:spacing w:after="0"/>
              <w:rPr>
                <w:sz w:val="4"/>
                <w:szCs w:val="4"/>
                <w:color w:val="auto"/>
              </w:rPr>
            </w:pPr>
          </w:p>
        </w:tc>
        <w:tc>
          <w:tcPr>
            <w:tcW w:w="640" w:type="dxa"/>
            <w:vAlign w:val="bottom"/>
            <w:tcBorders>
              <w:top w:val="single" w:sz="8" w:color="0000EE"/>
            </w:tcBorders>
            <w:shd w:val="clear" w:color="auto" w:fill="CFF0FC"/>
          </w:tcPr>
          <w:p>
            <w:pPr>
              <w:spacing w:after="0"/>
              <w:rPr>
                <w:sz w:val="4"/>
                <w:szCs w:val="4"/>
                <w:color w:val="auto"/>
              </w:rPr>
            </w:pPr>
          </w:p>
        </w:tc>
        <w:tc>
          <w:tcPr>
            <w:tcW w:w="1020" w:type="dxa"/>
            <w:vAlign w:val="bottom"/>
            <w:tcBorders>
              <w:top w:val="single" w:sz="8" w:color="0000EE"/>
            </w:tcBorders>
            <w:shd w:val="clear" w:color="auto" w:fill="CFF0FC"/>
          </w:tcPr>
          <w:p>
            <w:pPr>
              <w:spacing w:after="0"/>
              <w:rPr>
                <w:sz w:val="4"/>
                <w:szCs w:val="4"/>
                <w:color w:val="auto"/>
              </w:rPr>
            </w:pPr>
          </w:p>
        </w:tc>
        <w:tc>
          <w:tcPr>
            <w:tcW w:w="960" w:type="dxa"/>
            <w:vAlign w:val="bottom"/>
            <w:tcBorders>
              <w:top w:val="single" w:sz="8" w:color="0000EE"/>
            </w:tcBorders>
            <w:shd w:val="clear" w:color="auto" w:fill="CFF0FC"/>
          </w:tcPr>
          <w:p>
            <w:pPr>
              <w:spacing w:after="0"/>
              <w:rPr>
                <w:sz w:val="4"/>
                <w:szCs w:val="4"/>
                <w:color w:val="auto"/>
              </w:rPr>
            </w:pPr>
          </w:p>
        </w:tc>
        <w:tc>
          <w:tcPr>
            <w:tcW w:w="840" w:type="dxa"/>
            <w:vAlign w:val="bottom"/>
            <w:tcBorders>
              <w:top w:val="single" w:sz="8" w:color="0000EE"/>
            </w:tcBorders>
            <w:shd w:val="clear" w:color="auto" w:fill="CFF0FC"/>
          </w:tcPr>
          <w:p>
            <w:pPr>
              <w:spacing w:after="0"/>
              <w:rPr>
                <w:sz w:val="4"/>
                <w:szCs w:val="4"/>
                <w:color w:val="auto"/>
              </w:rPr>
            </w:pPr>
          </w:p>
        </w:tc>
        <w:tc>
          <w:tcPr>
            <w:tcW w:w="1180" w:type="dxa"/>
            <w:vAlign w:val="bottom"/>
            <w:tcBorders>
              <w:top w:val="single" w:sz="8" w:color="0000EE"/>
            </w:tcBorders>
            <w:shd w:val="clear" w:color="auto" w:fill="CFF0FC"/>
          </w:tcPr>
          <w:p>
            <w:pPr>
              <w:spacing w:after="0"/>
              <w:rPr>
                <w:sz w:val="4"/>
                <w:szCs w:val="4"/>
                <w:color w:val="auto"/>
              </w:rPr>
            </w:pPr>
          </w:p>
        </w:tc>
        <w:tc>
          <w:tcPr>
            <w:tcW w:w="2460" w:type="dxa"/>
            <w:vAlign w:val="bottom"/>
            <w:tcBorders>
              <w:top w:val="single" w:sz="8" w:color="0000EE"/>
            </w:tcBorders>
            <w:shd w:val="clear" w:color="auto" w:fill="CFF0FC"/>
          </w:tcPr>
          <w:p>
            <w:pPr>
              <w:spacing w:after="0"/>
              <w:rPr>
                <w:sz w:val="4"/>
                <w:szCs w:val="4"/>
                <w:color w:val="auto"/>
              </w:rPr>
            </w:pPr>
          </w:p>
        </w:tc>
        <w:tc>
          <w:tcPr>
            <w:tcW w:w="78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right w:val="single" w:sz="8" w:color="CFF0FC"/>
            </w:tcBorders>
            <w:shd w:val="clear" w:color="auto" w:fill="CFF0FC"/>
          </w:tcPr>
          <w:p>
            <w:pPr>
              <w:spacing w:after="0"/>
              <w:rPr>
                <w:sz w:val="4"/>
                <w:szCs w:val="4"/>
                <w:color w:val="auto"/>
              </w:rPr>
            </w:pPr>
          </w:p>
        </w:tc>
        <w:tc>
          <w:tcPr>
            <w:tcW w:w="80" w:type="dxa"/>
            <w:vAlign w:val="bottom"/>
            <w:tcBorders>
              <w:top w:val="single" w:sz="8" w:color="CFF0FC"/>
              <w:lef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r>
      <w:tr>
        <w:trPr>
          <w:trHeight w:val="216"/>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88"/>
              </w:rPr>
              <w:t>10.13</w:t>
            </w:r>
          </w:p>
        </w:tc>
        <w:tc>
          <w:tcPr>
            <w:tcW w:w="9280" w:type="dxa"/>
            <w:vAlign w:val="bottom"/>
            <w:tcBorders>
              <w:bottom w:val="single" w:sz="8" w:color="0000EE"/>
            </w:tcBorders>
            <w:gridSpan w:val="13"/>
          </w:tcPr>
          <w:p>
            <w:pPr>
              <w:spacing w:after="0"/>
              <w:rPr>
                <w:rFonts w:ascii="Arial" w:cs="Arial" w:eastAsia="Arial" w:hAnsi="Arial"/>
                <w:sz w:val="18"/>
                <w:szCs w:val="18"/>
                <w:color w:val="0000EE"/>
                <w:w w:val="90"/>
              </w:rPr>
            </w:pPr>
            <w:hyperlink r:id="rId261">
              <w:r>
                <w:rPr>
                  <w:rFonts w:ascii="Arial" w:cs="Arial" w:eastAsia="Arial" w:hAnsi="Arial"/>
                  <w:sz w:val="18"/>
                  <w:szCs w:val="18"/>
                  <w:color w:val="0000EE"/>
                  <w:w w:val="90"/>
                </w:rPr>
                <w:t>Guarantee and Collateral Agreement, dated as of March 21, 2017, by and among Summit Midstream Partners Holdings, LLC, as</w:t>
              </w:r>
            </w:hyperlink>
          </w:p>
        </w:tc>
        <w:tc>
          <w:tcPr>
            <w:tcW w:w="500" w:type="dxa"/>
            <w:vAlign w:val="bottom"/>
            <w:gridSpan w:val="9"/>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grantor, Summit Midstream Partners, LLC, as pledgor and grantor and Credit Suisse AG, Cayman Islands Branch, as collateral agent</w:t>
              </w:r>
            </w:hyperlink>
          </w:p>
        </w:tc>
        <w:tc>
          <w:tcPr>
            <w:tcW w:w="200" w:type="dxa"/>
            <w:vAlign w:val="bottom"/>
            <w:gridSpan w:val="5"/>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3"/>
              </w:rPr>
            </w:pPr>
            <w:hyperlink r:id="rId261">
              <w:r>
                <w:rPr>
                  <w:rFonts w:ascii="Arial" w:cs="Arial" w:eastAsia="Arial" w:hAnsi="Arial"/>
                  <w:sz w:val="18"/>
                  <w:szCs w:val="18"/>
                  <w:color w:val="0000EE"/>
                  <w:w w:val="93"/>
                </w:rPr>
                <w:t>(Incorporated herein by reference to Exhibit 10.10 to SMLP’s Current Report on Form 8-K dated June 2, 2020 (Commission File No.</w:t>
              </w:r>
            </w:hyperlink>
          </w:p>
        </w:tc>
      </w:tr>
      <w:tr>
        <w:trPr>
          <w:trHeight w:val="196"/>
        </w:trPr>
        <w:tc>
          <w:tcPr>
            <w:tcW w:w="14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001-35666))</w:t>
              </w:r>
            </w:hyperlink>
          </w:p>
        </w:tc>
        <w:tc>
          <w:tcPr>
            <w:tcW w:w="6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1460" w:type="dxa"/>
            <w:vAlign w:val="bottom"/>
            <w:shd w:val="clear" w:color="auto" w:fill="CFF0FC"/>
          </w:tcPr>
          <w:p>
            <w:pPr>
              <w:jc w:val="center"/>
              <w:ind w:right="290"/>
              <w:spacing w:after="0"/>
              <w:rPr>
                <w:sz w:val="20"/>
                <w:szCs w:val="20"/>
                <w:color w:val="auto"/>
              </w:rPr>
            </w:pPr>
            <w:r>
              <w:rPr>
                <w:rFonts w:ascii="Arial" w:cs="Arial" w:eastAsia="Arial" w:hAnsi="Arial"/>
                <w:sz w:val="18"/>
                <w:szCs w:val="18"/>
                <w:color w:val="auto"/>
                <w:w w:val="88"/>
              </w:rPr>
              <w:t>10.14</w:t>
            </w:r>
          </w:p>
        </w:tc>
        <w:tc>
          <w:tcPr>
            <w:tcW w:w="9780" w:type="dxa"/>
            <w:vAlign w:val="bottom"/>
            <w:gridSpan w:val="22"/>
            <w:shd w:val="clear" w:color="auto" w:fill="CFF0FC"/>
          </w:tcPr>
          <w:p>
            <w:pPr>
              <w:spacing w:after="0"/>
              <w:rPr>
                <w:rFonts w:ascii="Arial" w:cs="Arial" w:eastAsia="Arial" w:hAnsi="Arial"/>
                <w:sz w:val="18"/>
                <w:szCs w:val="18"/>
                <w:color w:val="0000EE"/>
                <w:w w:val="94"/>
              </w:rPr>
            </w:pPr>
            <w:hyperlink r:id="rId262">
              <w:r>
                <w:rPr>
                  <w:rFonts w:ascii="Arial" w:cs="Arial" w:eastAsia="Arial" w:hAnsi="Arial"/>
                  <w:sz w:val="18"/>
                  <w:szCs w:val="18"/>
                  <w:color w:val="0000EE"/>
                  <w:w w:val="94"/>
                </w:rPr>
                <w:t>Amendment to Warrants to Purchase Common Units, dated August 7, 2020, by and among Summit Midstream Partners, LP, SMP</w:t>
              </w:r>
            </w:hyperlink>
          </w:p>
        </w:tc>
      </w:tr>
      <w:tr>
        <w:trPr>
          <w:trHeight w:val="20"/>
        </w:trPr>
        <w:tc>
          <w:tcPr>
            <w:tcW w:w="1460" w:type="dxa"/>
            <w:vAlign w:val="bottom"/>
            <w:shd w:val="clear" w:color="auto" w:fill="CFF0FC"/>
          </w:tcPr>
          <w:p>
            <w:pPr>
              <w:spacing w:after="0" w:line="20" w:lineRule="exact"/>
              <w:rPr>
                <w:sz w:val="1"/>
                <w:szCs w:val="1"/>
                <w:color w:val="auto"/>
              </w:rPr>
            </w:pPr>
          </w:p>
        </w:tc>
        <w:tc>
          <w:tcPr>
            <w:tcW w:w="4360" w:type="dxa"/>
            <w:vAlign w:val="bottom"/>
            <w:gridSpan w:val="5"/>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CFF0FC"/>
            </w:tcBorders>
            <w:gridSpan w:val="3"/>
            <w:shd w:val="clear" w:color="auto" w:fill="0000EE"/>
          </w:tcPr>
          <w:p>
            <w:pPr>
              <w:spacing w:after="0" w:line="20" w:lineRule="exact"/>
              <w:rPr>
                <w:sz w:val="1"/>
                <w:szCs w:val="1"/>
                <w:color w:val="auto"/>
              </w:rPr>
            </w:pPr>
          </w:p>
        </w:tc>
        <w:tc>
          <w:tcPr>
            <w:tcW w:w="260" w:type="dxa"/>
            <w:vAlign w:val="bottom"/>
            <w:tcBorders>
              <w:left w:val="single" w:sz="8" w:color="CFF0FC"/>
            </w:tcBorders>
            <w:gridSpan w:val="4"/>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22"/>
            <w:shd w:val="clear" w:color="auto" w:fill="CFF0FC"/>
          </w:tcPr>
          <w:p>
            <w:pPr>
              <w:spacing w:after="0" w:line="196"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TopCo, LLC and SMLP Holdings, LLC (Incorporated herein by reference to Exhibit 10.11 to SMLP’s Quarterly Report on Form 10-Q</w:t>
              </w:r>
            </w:hyperlink>
          </w:p>
        </w:tc>
      </w:tr>
      <w:tr>
        <w:trPr>
          <w:trHeight w:val="196"/>
        </w:trPr>
        <w:tc>
          <w:tcPr>
            <w:tcW w:w="1460" w:type="dxa"/>
            <w:vAlign w:val="bottom"/>
            <w:tcBorders>
              <w:top w:val="single" w:sz="8" w:color="CFF0FC"/>
            </w:tcBorders>
            <w:shd w:val="clear" w:color="auto" w:fill="CFF0FC"/>
          </w:tcPr>
          <w:p>
            <w:pPr>
              <w:spacing w:after="0"/>
              <w:rPr>
                <w:sz w:val="17"/>
                <w:szCs w:val="17"/>
                <w:color w:val="auto"/>
              </w:rPr>
            </w:pPr>
          </w:p>
        </w:tc>
        <w:tc>
          <w:tcPr>
            <w:tcW w:w="9700" w:type="dxa"/>
            <w:vAlign w:val="bottom"/>
            <w:tcBorders>
              <w:top w:val="single" w:sz="8" w:color="0000EE"/>
            </w:tcBorders>
            <w:gridSpan w:val="19"/>
            <w:shd w:val="clear" w:color="auto" w:fill="CFF0FC"/>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for the period ended September 30, 2020 (Commission File No. 001-35666))</w:t>
              </w:r>
            </w:hyperlink>
          </w:p>
        </w:tc>
        <w:tc>
          <w:tcPr>
            <w:tcW w:w="80" w:type="dxa"/>
            <w:vAlign w:val="bottom"/>
            <w:tcBorders>
              <w:top w:val="single" w:sz="8" w:color="CFF0FC"/>
            </w:tcBorders>
            <w:gridSpan w:val="3"/>
            <w:shd w:val="clear" w:color="auto" w:fill="CFF0FC"/>
          </w:tcPr>
          <w:p>
            <w:pPr>
              <w:spacing w:after="0"/>
              <w:rPr>
                <w:sz w:val="17"/>
                <w:szCs w:val="17"/>
                <w:color w:val="auto"/>
              </w:rPr>
            </w:pPr>
          </w:p>
        </w:tc>
      </w:tr>
      <w:tr>
        <w:trPr>
          <w:trHeight w:val="48"/>
        </w:trPr>
        <w:tc>
          <w:tcPr>
            <w:tcW w:w="1460" w:type="dxa"/>
            <w:vAlign w:val="bottom"/>
            <w:tcBorders>
              <w:top w:val="single" w:sz="8" w:color="CFF0FC"/>
            </w:tcBorders>
            <w:shd w:val="clear" w:color="auto" w:fill="CFF0FC"/>
          </w:tcPr>
          <w:p>
            <w:pPr>
              <w:spacing w:after="0"/>
              <w:rPr>
                <w:sz w:val="4"/>
                <w:szCs w:val="4"/>
                <w:color w:val="auto"/>
              </w:rPr>
            </w:pPr>
          </w:p>
        </w:tc>
        <w:tc>
          <w:tcPr>
            <w:tcW w:w="900" w:type="dxa"/>
            <w:vAlign w:val="bottom"/>
            <w:tcBorders>
              <w:top w:val="single" w:sz="8" w:color="0000EE"/>
            </w:tcBorders>
            <w:shd w:val="clear" w:color="auto" w:fill="CFF0FC"/>
          </w:tcPr>
          <w:p>
            <w:pPr>
              <w:spacing w:after="0"/>
              <w:rPr>
                <w:sz w:val="4"/>
                <w:szCs w:val="4"/>
                <w:color w:val="auto"/>
              </w:rPr>
            </w:pPr>
          </w:p>
        </w:tc>
        <w:tc>
          <w:tcPr>
            <w:tcW w:w="640" w:type="dxa"/>
            <w:vAlign w:val="bottom"/>
            <w:tcBorders>
              <w:top w:val="single" w:sz="8" w:color="0000EE"/>
            </w:tcBorders>
            <w:shd w:val="clear" w:color="auto" w:fill="CFF0FC"/>
          </w:tcPr>
          <w:p>
            <w:pPr>
              <w:spacing w:after="0"/>
              <w:rPr>
                <w:sz w:val="4"/>
                <w:szCs w:val="4"/>
                <w:color w:val="auto"/>
              </w:rPr>
            </w:pPr>
          </w:p>
        </w:tc>
        <w:tc>
          <w:tcPr>
            <w:tcW w:w="1020" w:type="dxa"/>
            <w:vAlign w:val="bottom"/>
            <w:tcBorders>
              <w:top w:val="single" w:sz="8" w:color="0000EE"/>
            </w:tcBorders>
            <w:shd w:val="clear" w:color="auto" w:fill="CFF0FC"/>
          </w:tcPr>
          <w:p>
            <w:pPr>
              <w:spacing w:after="0"/>
              <w:rPr>
                <w:sz w:val="4"/>
                <w:szCs w:val="4"/>
                <w:color w:val="auto"/>
              </w:rPr>
            </w:pPr>
          </w:p>
        </w:tc>
        <w:tc>
          <w:tcPr>
            <w:tcW w:w="960" w:type="dxa"/>
            <w:vAlign w:val="bottom"/>
            <w:tcBorders>
              <w:top w:val="single" w:sz="8" w:color="0000EE"/>
            </w:tcBorders>
            <w:shd w:val="clear" w:color="auto" w:fill="CFF0FC"/>
          </w:tcPr>
          <w:p>
            <w:pPr>
              <w:spacing w:after="0"/>
              <w:rPr>
                <w:sz w:val="4"/>
                <w:szCs w:val="4"/>
                <w:color w:val="auto"/>
              </w:rPr>
            </w:pPr>
          </w:p>
        </w:tc>
        <w:tc>
          <w:tcPr>
            <w:tcW w:w="840" w:type="dxa"/>
            <w:vAlign w:val="bottom"/>
            <w:tcBorders>
              <w:top w:val="single" w:sz="8" w:color="0000EE"/>
            </w:tcBorders>
            <w:shd w:val="clear" w:color="auto" w:fill="CFF0FC"/>
          </w:tcPr>
          <w:p>
            <w:pPr>
              <w:spacing w:after="0"/>
              <w:rPr>
                <w:sz w:val="4"/>
                <w:szCs w:val="4"/>
                <w:color w:val="auto"/>
              </w:rPr>
            </w:pPr>
          </w:p>
        </w:tc>
        <w:tc>
          <w:tcPr>
            <w:tcW w:w="1180" w:type="dxa"/>
            <w:vAlign w:val="bottom"/>
            <w:tcBorders>
              <w:top w:val="single" w:sz="8" w:color="0000EE"/>
            </w:tcBorders>
            <w:shd w:val="clear" w:color="auto" w:fill="CFF0FC"/>
          </w:tcPr>
          <w:p>
            <w:pPr>
              <w:spacing w:after="0"/>
              <w:rPr>
                <w:sz w:val="4"/>
                <w:szCs w:val="4"/>
                <w:color w:val="auto"/>
              </w:rPr>
            </w:pPr>
          </w:p>
        </w:tc>
        <w:tc>
          <w:tcPr>
            <w:tcW w:w="2460" w:type="dxa"/>
            <w:vAlign w:val="bottom"/>
            <w:tcBorders>
              <w:top w:val="single" w:sz="8" w:color="CFF0FC"/>
            </w:tcBorders>
            <w:shd w:val="clear" w:color="auto" w:fill="CFF0FC"/>
          </w:tcPr>
          <w:p>
            <w:pPr>
              <w:spacing w:after="0"/>
              <w:rPr>
                <w:sz w:val="4"/>
                <w:szCs w:val="4"/>
                <w:color w:val="auto"/>
              </w:rPr>
            </w:pPr>
          </w:p>
        </w:tc>
        <w:tc>
          <w:tcPr>
            <w:tcW w:w="78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right w:val="single" w:sz="8" w:color="CFF0FC"/>
            </w:tcBorders>
            <w:shd w:val="clear" w:color="auto" w:fill="CFF0FC"/>
          </w:tcPr>
          <w:p>
            <w:pPr>
              <w:spacing w:after="0"/>
              <w:rPr>
                <w:sz w:val="4"/>
                <w:szCs w:val="4"/>
                <w:color w:val="auto"/>
              </w:rPr>
            </w:pPr>
          </w:p>
        </w:tc>
        <w:tc>
          <w:tcPr>
            <w:tcW w:w="80" w:type="dxa"/>
            <w:vAlign w:val="bottom"/>
            <w:tcBorders>
              <w:top w:val="single" w:sz="8" w:color="CFF0FC"/>
              <w:lef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r>
      <w:tr>
        <w:trPr>
          <w:trHeight w:val="216"/>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88"/>
              </w:rPr>
              <w:t>10.15</w:t>
            </w:r>
          </w:p>
        </w:tc>
        <w:tc>
          <w:tcPr>
            <w:tcW w:w="9260" w:type="dxa"/>
            <w:vAlign w:val="bottom"/>
            <w:tcBorders>
              <w:bottom w:val="single" w:sz="8" w:color="0000EE"/>
            </w:tcBorders>
            <w:gridSpan w:val="12"/>
          </w:tcPr>
          <w:p>
            <w:pPr>
              <w:spacing w:after="0"/>
              <w:rPr>
                <w:rFonts w:ascii="Arial" w:cs="Arial" w:eastAsia="Arial" w:hAnsi="Arial"/>
                <w:sz w:val="18"/>
                <w:szCs w:val="18"/>
                <w:color w:val="0000EE"/>
                <w:w w:val="90"/>
              </w:rPr>
            </w:pPr>
            <w:hyperlink r:id="rId263">
              <w:r>
                <w:rPr>
                  <w:rFonts w:ascii="Arial" w:cs="Arial" w:eastAsia="Arial" w:hAnsi="Arial"/>
                  <w:sz w:val="18"/>
                  <w:szCs w:val="18"/>
                  <w:color w:val="0000EE"/>
                  <w:w w:val="90"/>
                </w:rPr>
                <w:t>Transaction Support Agreement, dated September 29, 2020, by and among Summit Midstream Partners Holdings, LLC, Summit</w:t>
              </w:r>
            </w:hyperlink>
          </w:p>
        </w:tc>
        <w:tc>
          <w:tcPr>
            <w:tcW w:w="520" w:type="dxa"/>
            <w:vAlign w:val="bottom"/>
            <w:gridSpan w:val="10"/>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5"/>
              </w:rPr>
            </w:pPr>
            <w:hyperlink r:id="rId263">
              <w:r>
                <w:rPr>
                  <w:rFonts w:ascii="Arial" w:cs="Arial" w:eastAsia="Arial" w:hAnsi="Arial"/>
                  <w:sz w:val="18"/>
                  <w:szCs w:val="18"/>
                  <w:color w:val="0000EE"/>
                  <w:w w:val="95"/>
                </w:rPr>
                <w:t>Midstream Partners, LLC, Summit Midstream Partners, LP and the Initial Directing Lenders listed therein (Incorporated herein by</w:t>
              </w:r>
            </w:hyperlink>
          </w:p>
        </w:tc>
      </w:tr>
      <w:tr>
        <w:trPr>
          <w:trHeight w:val="237"/>
        </w:trPr>
        <w:tc>
          <w:tcPr>
            <w:tcW w:w="1460" w:type="dxa"/>
            <w:vAlign w:val="bottom"/>
          </w:tcPr>
          <w:p>
            <w:pPr>
              <w:spacing w:after="0"/>
              <w:rPr>
                <w:sz w:val="20"/>
                <w:szCs w:val="20"/>
                <w:color w:val="auto"/>
              </w:rPr>
            </w:pPr>
          </w:p>
        </w:tc>
        <w:tc>
          <w:tcPr>
            <w:tcW w:w="9440" w:type="dxa"/>
            <w:vAlign w:val="bottom"/>
            <w:tcBorders>
              <w:top w:val="single" w:sz="8" w:color="0000EE"/>
            </w:tcBorders>
            <w:gridSpan w:val="15"/>
          </w:tcPr>
          <w:p>
            <w:pPr>
              <w:spacing w:after="0"/>
              <w:rPr>
                <w:rFonts w:ascii="Arial" w:cs="Arial" w:eastAsia="Arial" w:hAnsi="Arial"/>
                <w:sz w:val="18"/>
                <w:szCs w:val="18"/>
                <w:u w:val="single" w:color="auto"/>
                <w:color w:val="0000EE"/>
                <w:w w:val="93"/>
              </w:rPr>
            </w:pPr>
            <w:hyperlink r:id="rId263">
              <w:r>
                <w:rPr>
                  <w:rFonts w:ascii="Arial" w:cs="Arial" w:eastAsia="Arial" w:hAnsi="Arial"/>
                  <w:sz w:val="18"/>
                  <w:szCs w:val="18"/>
                  <w:u w:val="single" w:color="auto"/>
                  <w:color w:val="0000EE"/>
                  <w:w w:val="93"/>
                </w:rPr>
                <w:t>reference to Exhibit 10.1 to SMLP’s Current Report on Form 8-K dated September 30, 2020 (Commission File No. 001-34666))</w:t>
              </w:r>
            </w:hyperlink>
          </w:p>
        </w:tc>
        <w:tc>
          <w:tcPr>
            <w:tcW w:w="340" w:type="dxa"/>
            <w:vAlign w:val="bottom"/>
            <w:gridSpan w:val="7"/>
          </w:tcPr>
          <w:p>
            <w:pPr>
              <w:spacing w:after="0"/>
              <w:rPr>
                <w:sz w:val="20"/>
                <w:szCs w:val="20"/>
                <w:color w:val="auto"/>
              </w:rPr>
            </w:pP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460" w:type="dxa"/>
            <w:vAlign w:val="bottom"/>
            <w:tcBorders>
              <w:bottom w:val="single" w:sz="8" w:color="CFF0FC"/>
            </w:tcBorders>
            <w:shd w:val="clear" w:color="auto" w:fill="CFF0FC"/>
          </w:tcPr>
          <w:p>
            <w:pPr>
              <w:jc w:val="center"/>
              <w:ind w:right="290"/>
              <w:spacing w:after="0"/>
              <w:rPr>
                <w:sz w:val="20"/>
                <w:szCs w:val="20"/>
                <w:color w:val="auto"/>
              </w:rPr>
            </w:pPr>
            <w:r>
              <w:rPr>
                <w:rFonts w:ascii="Arial" w:cs="Arial" w:eastAsia="Arial" w:hAnsi="Arial"/>
                <w:sz w:val="18"/>
                <w:szCs w:val="18"/>
                <w:color w:val="auto"/>
                <w:w w:val="88"/>
              </w:rPr>
              <w:t>10.16</w:t>
            </w:r>
          </w:p>
        </w:tc>
        <w:tc>
          <w:tcPr>
            <w:tcW w:w="9700" w:type="dxa"/>
            <w:vAlign w:val="bottom"/>
            <w:tcBorders>
              <w:bottom w:val="single" w:sz="8" w:color="0000EE"/>
            </w:tcBorders>
            <w:gridSpan w:val="19"/>
            <w:shd w:val="clear" w:color="auto" w:fill="CFF0FC"/>
          </w:tcPr>
          <w:p>
            <w:pPr>
              <w:spacing w:after="0"/>
              <w:rPr>
                <w:rFonts w:ascii="Arial" w:cs="Arial" w:eastAsia="Arial" w:hAnsi="Arial"/>
                <w:sz w:val="18"/>
                <w:szCs w:val="18"/>
                <w:color w:val="0000EE"/>
                <w:w w:val="90"/>
              </w:rPr>
            </w:pPr>
            <w:hyperlink r:id="rId264">
              <w:r>
                <w:rPr>
                  <w:rFonts w:ascii="Arial" w:cs="Arial" w:eastAsia="Arial" w:hAnsi="Arial"/>
                  <w:sz w:val="18"/>
                  <w:szCs w:val="18"/>
                  <w:color w:val="0000EE"/>
                  <w:w w:val="90"/>
                </w:rPr>
                <w:t>Purchase Agreement, dated as of June 12, 2013, by and among Summit Midstream Holdings, LLC, Summit Midstream Finance Corp.,</w:t>
              </w:r>
            </w:hyperlink>
          </w:p>
        </w:tc>
        <w:tc>
          <w:tcPr>
            <w:tcW w:w="80" w:type="dxa"/>
            <w:vAlign w:val="bottom"/>
            <w:tcBorders>
              <w:bottom w:val="single" w:sz="8" w:color="CFF0FC"/>
            </w:tcBorders>
            <w:gridSpan w:val="3"/>
            <w:shd w:val="clear" w:color="auto" w:fill="CFF0FC"/>
          </w:tcPr>
          <w:p>
            <w:pPr>
              <w:spacing w:after="0"/>
              <w:rPr>
                <w:sz w:val="18"/>
                <w:szCs w:val="18"/>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22"/>
            <w:shd w:val="clear" w:color="auto" w:fill="CFF0FC"/>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Summit Midstream GP, LLC, the Guarantors named therein and the Initial Purchasers named therein (Incorporated herein by reference</w:t>
              </w:r>
            </w:hyperlink>
          </w:p>
        </w:tc>
      </w:tr>
      <w:tr>
        <w:trPr>
          <w:trHeight w:val="243"/>
        </w:trPr>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9700" w:type="dxa"/>
            <w:vAlign w:val="bottom"/>
            <w:tcBorders>
              <w:top w:val="single" w:sz="8" w:color="0000EE"/>
              <w:bottom w:val="single" w:sz="8" w:color="CFF0FC"/>
            </w:tcBorders>
            <w:gridSpan w:val="19"/>
            <w:shd w:val="clear" w:color="auto" w:fill="CFF0FC"/>
          </w:tcPr>
          <w:p>
            <w:pPr>
              <w:spacing w:after="0"/>
              <w:rPr>
                <w:rFonts w:ascii="Arial" w:cs="Arial" w:eastAsia="Arial" w:hAnsi="Arial"/>
                <w:sz w:val="18"/>
                <w:szCs w:val="18"/>
                <w:u w:val="single" w:color="auto"/>
                <w:color w:val="0000EE"/>
              </w:rPr>
            </w:pPr>
            <w:hyperlink r:id="rId264">
              <w:r>
                <w:rPr>
                  <w:rFonts w:ascii="Arial" w:cs="Arial" w:eastAsia="Arial" w:hAnsi="Arial"/>
                  <w:sz w:val="18"/>
                  <w:szCs w:val="18"/>
                  <w:u w:val="single" w:color="auto"/>
                  <w:color w:val="0000EE"/>
                </w:rPr>
                <w:t>to Exhibit 1.1 to SMLP's Current Report on Form 8-K dated June 17, 2013 (Commission File No. 001-35666))</w:t>
              </w:r>
            </w:hyperlink>
          </w:p>
        </w:tc>
        <w:tc>
          <w:tcPr>
            <w:tcW w:w="80" w:type="dxa"/>
            <w:vAlign w:val="bottom"/>
            <w:tcBorders>
              <w:top w:val="single" w:sz="8" w:color="CFF0FC"/>
              <w:bottom w:val="single" w:sz="8" w:color="CFF0FC"/>
            </w:tcBorders>
            <w:gridSpan w:val="3"/>
            <w:shd w:val="clear" w:color="auto" w:fill="CFF0FC"/>
          </w:tcPr>
          <w:p>
            <w:pPr>
              <w:spacing w:after="0"/>
              <w:rPr>
                <w:sz w:val="21"/>
                <w:szCs w:val="21"/>
                <w:color w:val="auto"/>
              </w:rPr>
            </w:pPr>
          </w:p>
        </w:tc>
      </w:tr>
      <w:tr>
        <w:trPr>
          <w:trHeight w:val="216"/>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88"/>
              </w:rPr>
              <w:t>10.17</w:t>
            </w:r>
          </w:p>
        </w:tc>
        <w:tc>
          <w:tcPr>
            <w:tcW w:w="9240" w:type="dxa"/>
            <w:vAlign w:val="bottom"/>
            <w:tcBorders>
              <w:bottom w:val="single" w:sz="8" w:color="0000EE"/>
            </w:tcBorders>
            <w:gridSpan w:val="11"/>
          </w:tcPr>
          <w:p>
            <w:pPr>
              <w:spacing w:after="0"/>
              <w:rPr>
                <w:rFonts w:ascii="Arial" w:cs="Arial" w:eastAsia="Arial" w:hAnsi="Arial"/>
                <w:sz w:val="18"/>
                <w:szCs w:val="18"/>
                <w:color w:val="0000EE"/>
                <w:w w:val="90"/>
              </w:rPr>
            </w:pPr>
            <w:hyperlink r:id="rId265">
              <w:r>
                <w:rPr>
                  <w:rFonts w:ascii="Arial" w:cs="Arial" w:eastAsia="Arial" w:hAnsi="Arial"/>
                  <w:sz w:val="18"/>
                  <w:szCs w:val="18"/>
                  <w:color w:val="0000EE"/>
                  <w:w w:val="90"/>
                </w:rPr>
                <w:t>Purchase and Sale Agreement between Meadowlark Midstream Company, LLC, Tioga Midstream, LLC and Hess North Dakota</w:t>
              </w:r>
            </w:hyperlink>
          </w:p>
        </w:tc>
        <w:tc>
          <w:tcPr>
            <w:tcW w:w="540" w:type="dxa"/>
            <w:vAlign w:val="bottom"/>
            <w:gridSpan w:val="11"/>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65">
              <w:r>
                <w:rPr>
                  <w:rFonts w:ascii="Arial" w:cs="Arial" w:eastAsia="Arial" w:hAnsi="Arial"/>
                  <w:sz w:val="18"/>
                  <w:szCs w:val="18"/>
                  <w:color w:val="0000EE"/>
                  <w:w w:val="91"/>
                </w:rPr>
                <w:t>Pipelines LLC dated as of February 22, 2019 (Incorporated herein by reference to Exhibit 10.1 to SMLP's Current Report on Form 8-K</w:t>
              </w:r>
            </w:hyperlink>
          </w:p>
        </w:tc>
        <w:tc>
          <w:tcPr>
            <w:tcW w:w="4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dated February 26, 2019 (Commission File No. 001-35666))</w:t>
              </w:r>
            </w:hyperlink>
          </w:p>
        </w:tc>
      </w:tr>
      <w:tr>
        <w:trPr>
          <w:trHeight w:val="480"/>
        </w:trPr>
        <w:tc>
          <w:tcPr>
            <w:tcW w:w="1460" w:type="dxa"/>
            <w:vAlign w:val="bottom"/>
          </w:tcPr>
          <w:p>
            <w:pPr>
              <w:spacing w:after="0"/>
              <w:rPr>
                <w:sz w:val="24"/>
                <w:szCs w:val="24"/>
                <w:color w:val="auto"/>
              </w:rPr>
            </w:pPr>
          </w:p>
        </w:tc>
        <w:tc>
          <w:tcPr>
            <w:tcW w:w="4360" w:type="dxa"/>
            <w:vAlign w:val="bottom"/>
            <w:tcBorders>
              <w:top w:val="single" w:sz="8" w:color="0000EE"/>
            </w:tcBorders>
            <w:gridSpan w:val="5"/>
          </w:tcPr>
          <w:p>
            <w:pPr>
              <w:ind w:left="4020"/>
              <w:spacing w:after="0"/>
              <w:rPr>
                <w:sz w:val="20"/>
                <w:szCs w:val="20"/>
                <w:color w:val="auto"/>
              </w:rPr>
            </w:pPr>
            <w:r>
              <w:rPr>
                <w:rFonts w:ascii="Arial" w:cs="Arial" w:eastAsia="Arial" w:hAnsi="Arial"/>
                <w:sz w:val="18"/>
                <w:szCs w:val="18"/>
                <w:color w:val="auto"/>
              </w:rPr>
              <w:t>163</w:t>
            </w: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546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32" w:lineRule="exact"/>
        <w:rPr>
          <w:sz w:val="20"/>
          <w:szCs w:val="20"/>
          <w:color w:val="auto"/>
        </w:rPr>
      </w:pPr>
    </w:p>
    <w:p>
      <w:pPr>
        <w:ind w:left="1460" w:right="240" w:hanging="1126"/>
        <w:spacing w:after="0" w:line="263"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269">
        <w:r>
          <w:rPr>
            <w:rFonts w:ascii="Arial" w:cs="Arial" w:eastAsia="Arial" w:hAnsi="Arial"/>
            <w:sz w:val="18"/>
            <w:szCs w:val="18"/>
            <w:u w:val="single" w:color="auto"/>
            <w:color w:val="0000EE"/>
          </w:rPr>
          <w:t>Purchase and Sale Agreement between Meadowlark Midstream Company, LLC, Tioga Midstream, LLC and Hess Infrastructure</w:t>
        </w:r>
      </w:hyperlink>
      <w:r>
        <w:rPr>
          <w:rFonts w:ascii="Arial" w:cs="Arial" w:eastAsia="Arial" w:hAnsi="Arial"/>
          <w:sz w:val="18"/>
          <w:szCs w:val="18"/>
          <w:u w:val="single" w:color="auto"/>
          <w:color w:val="0000EE"/>
        </w:rPr>
        <w:t xml:space="preserve"> </w:t>
      </w:r>
      <w:hyperlink r:id="rId269">
        <w:r>
          <w:rPr>
            <w:rFonts w:ascii="Arial" w:cs="Arial" w:eastAsia="Arial" w:hAnsi="Arial"/>
            <w:sz w:val="18"/>
            <w:szCs w:val="18"/>
            <w:u w:val="single" w:color="auto"/>
            <w:color w:val="0000EE"/>
          </w:rPr>
          <w:t>Partners LP dated as of February 22, 2019 (Incorporated herein by reference to Exhibit 10.2 to SMLP's Current Report on Form 8-K</w:t>
        </w:r>
      </w:hyperlink>
      <w:r>
        <w:rPr>
          <w:rFonts w:ascii="Arial" w:cs="Arial" w:eastAsia="Arial" w:hAnsi="Arial"/>
          <w:sz w:val="18"/>
          <w:szCs w:val="18"/>
          <w:u w:val="single" w:color="auto"/>
          <w:color w:val="0000EE"/>
        </w:rPr>
        <w:t xml:space="preserve"> </w:t>
      </w:r>
      <w:hyperlink r:id="rId269">
        <w:r>
          <w:rPr>
            <w:rFonts w:ascii="Arial" w:cs="Arial" w:eastAsia="Arial" w:hAnsi="Arial"/>
            <w:sz w:val="18"/>
            <w:szCs w:val="18"/>
            <w:u w:val="single" w:color="auto"/>
            <w:color w:val="0000EE"/>
          </w:rPr>
          <w:t>dated February 26, 2019 (Commission File No. 001-35666))</w:t>
        </w:r>
      </w:hyperlink>
    </w:p>
    <w:p>
      <w:pPr>
        <w:spacing w:after="0" w:line="18"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10.19</w:t>
            </w:r>
          </w:p>
        </w:tc>
        <w:tc>
          <w:tcPr>
            <w:tcW w:w="9160" w:type="dxa"/>
            <w:vAlign w:val="bottom"/>
            <w:tcBorders>
              <w:bottom w:val="single" w:sz="8" w:color="0000EE"/>
            </w:tcBorders>
            <w:gridSpan w:val="11"/>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Indenture, dated as of June 17, 2013, by and among Summit Midstream Holdings, LLC, Summit Midstream Finance Corp., the</w:t>
              </w:r>
            </w:hyperlink>
          </w:p>
        </w:tc>
        <w:tc>
          <w:tcPr>
            <w:tcW w:w="620" w:type="dxa"/>
            <w:vAlign w:val="bottom"/>
            <w:gridSpan w:val="19"/>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70">
              <w:r>
                <w:rPr>
                  <w:rFonts w:ascii="Arial" w:cs="Arial" w:eastAsia="Arial" w:hAnsi="Arial"/>
                  <w:sz w:val="18"/>
                  <w:szCs w:val="18"/>
                  <w:color w:val="0000EE"/>
                  <w:w w:val="91"/>
                </w:rPr>
                <w:t>Guarantors party thereto and U.S. Bank National Association (including form of the 7½% senior notes due 2021) (Incorporated herein</w:t>
              </w:r>
            </w:hyperlink>
          </w:p>
        </w:tc>
        <w:tc>
          <w:tcPr>
            <w:tcW w:w="80" w:type="dxa"/>
            <w:vAlign w:val="bottom"/>
            <w:gridSpan w:val="4"/>
          </w:tcPr>
          <w:p>
            <w:pPr>
              <w:spacing w:after="0"/>
              <w:rPr>
                <w:sz w:val="17"/>
                <w:szCs w:val="17"/>
                <w:color w:val="auto"/>
              </w:rPr>
            </w:pPr>
          </w:p>
        </w:tc>
      </w:tr>
      <w:tr>
        <w:trPr>
          <w:trHeight w:val="237"/>
        </w:trPr>
        <w:tc>
          <w:tcPr>
            <w:tcW w:w="1460" w:type="dxa"/>
            <w:vAlign w:val="bottom"/>
          </w:tcPr>
          <w:p>
            <w:pPr>
              <w:spacing w:after="0"/>
              <w:rPr>
                <w:sz w:val="20"/>
                <w:szCs w:val="20"/>
                <w:color w:val="auto"/>
              </w:rPr>
            </w:pPr>
          </w:p>
        </w:tc>
        <w:tc>
          <w:tcPr>
            <w:tcW w:w="9780" w:type="dxa"/>
            <w:vAlign w:val="bottom"/>
            <w:gridSpan w:val="30"/>
          </w:tcPr>
          <w:p>
            <w:pPr>
              <w:spacing w:after="0"/>
              <w:rPr>
                <w:rFonts w:ascii="Arial" w:cs="Arial" w:eastAsia="Arial" w:hAnsi="Arial"/>
                <w:sz w:val="18"/>
                <w:szCs w:val="18"/>
                <w:u w:val="single" w:color="auto"/>
                <w:color w:val="0000EE"/>
              </w:rPr>
            </w:pPr>
            <w:hyperlink r:id="rId270">
              <w:r>
                <w:rPr>
                  <w:rFonts w:ascii="Arial" w:cs="Arial" w:eastAsia="Arial" w:hAnsi="Arial"/>
                  <w:sz w:val="18"/>
                  <w:szCs w:val="18"/>
                  <w:u w:val="single" w:color="auto"/>
                  <w:color w:val="0000EE"/>
                </w:rPr>
                <w:t>by reference to Exhibit 4.1 to SMLP's Current Report on Form 8-K dated June 17, 2013 (Commission File No. 001-35666))</w:t>
              </w:r>
            </w:hyperlink>
          </w:p>
        </w:tc>
      </w:tr>
      <w:tr>
        <w:trPr>
          <w:trHeight w:val="27"/>
        </w:trPr>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10.20</w:t>
            </w:r>
          </w:p>
        </w:tc>
        <w:tc>
          <w:tcPr>
            <w:tcW w:w="9340" w:type="dxa"/>
            <w:vAlign w:val="bottom"/>
            <w:tcBorders>
              <w:bottom w:val="single" w:sz="8" w:color="0000EE"/>
            </w:tcBorders>
            <w:gridSpan w:val="15"/>
            <w:shd w:val="clear" w:color="auto" w:fill="CFF0FC"/>
          </w:tcPr>
          <w:p>
            <w:pPr>
              <w:spacing w:after="0"/>
              <w:rPr>
                <w:rFonts w:ascii="Arial" w:cs="Arial" w:eastAsia="Arial" w:hAnsi="Arial"/>
                <w:sz w:val="18"/>
                <w:szCs w:val="18"/>
                <w:color w:val="0000EE"/>
                <w:w w:val="91"/>
              </w:rPr>
            </w:pPr>
            <w:hyperlink r:id="rId271">
              <w:r>
                <w:rPr>
                  <w:rFonts w:ascii="Arial" w:cs="Arial" w:eastAsia="Arial" w:hAnsi="Arial"/>
                  <w:sz w:val="18"/>
                  <w:szCs w:val="18"/>
                  <w:color w:val="0000EE"/>
                  <w:w w:val="91"/>
                </w:rPr>
                <w:t>Registration Rights Agreement, dated as of June 17, 2013, by and among Summit Midstream Holdings, LLC, Summit Midstream</w:t>
              </w:r>
            </w:hyperlink>
          </w:p>
        </w:tc>
        <w:tc>
          <w:tcPr>
            <w:tcW w:w="440" w:type="dxa"/>
            <w:vAlign w:val="bottom"/>
            <w:tcBorders>
              <w:bottom w:val="single" w:sz="8" w:color="CFF0FC"/>
            </w:tcBorders>
            <w:gridSpan w:val="15"/>
            <w:shd w:val="clear" w:color="auto" w:fill="CFF0FC"/>
          </w:tcPr>
          <w:p>
            <w:pPr>
              <w:spacing w:after="0"/>
              <w:rPr>
                <w:sz w:val="18"/>
                <w:szCs w:val="18"/>
                <w:color w:val="auto"/>
              </w:rPr>
            </w:pPr>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9700" w:type="dxa"/>
            <w:vAlign w:val="bottom"/>
            <w:tcBorders>
              <w:bottom w:val="single" w:sz="8" w:color="0000EE"/>
            </w:tcBorders>
            <w:gridSpan w:val="26"/>
            <w:shd w:val="clear" w:color="auto" w:fill="CFF0FC"/>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Finance Corp., the Guarantors named therein and the Initial Purchasers named therein (Incorporated herein by reference to Exhibit 4.2</w:t>
              </w:r>
            </w:hyperlink>
          </w:p>
        </w:tc>
        <w:tc>
          <w:tcPr>
            <w:tcW w:w="80" w:type="dxa"/>
            <w:vAlign w:val="bottom"/>
            <w:tcBorders>
              <w:bottom w:val="single" w:sz="8" w:color="CFF0FC"/>
            </w:tcBorders>
            <w:gridSpan w:val="4"/>
            <w:shd w:val="clear" w:color="auto" w:fill="CFF0FC"/>
          </w:tcPr>
          <w:p>
            <w:pPr>
              <w:spacing w:after="0"/>
              <w:rPr>
                <w:sz w:val="17"/>
                <w:szCs w:val="17"/>
                <w:color w:val="auto"/>
              </w:rPr>
            </w:pPr>
          </w:p>
        </w:tc>
      </w:tr>
      <w:tr>
        <w:trPr>
          <w:trHeight w:val="244"/>
        </w:trPr>
        <w:tc>
          <w:tcPr>
            <w:tcW w:w="1460" w:type="dxa"/>
            <w:vAlign w:val="bottom"/>
            <w:tcBorders>
              <w:bottom w:val="single" w:sz="8" w:color="CFF0FC"/>
            </w:tcBorders>
            <w:shd w:val="clear" w:color="auto" w:fill="CFF0FC"/>
          </w:tcPr>
          <w:p>
            <w:pPr>
              <w:spacing w:after="0"/>
              <w:rPr>
                <w:sz w:val="21"/>
                <w:szCs w:val="21"/>
                <w:color w:val="auto"/>
              </w:rPr>
            </w:pPr>
          </w:p>
        </w:tc>
        <w:tc>
          <w:tcPr>
            <w:tcW w:w="6960" w:type="dxa"/>
            <w:vAlign w:val="bottom"/>
            <w:tcBorders>
              <w:bottom w:val="single" w:sz="8" w:color="0000EE"/>
            </w:tcBorders>
            <w:gridSpan w:val="8"/>
            <w:shd w:val="clear" w:color="auto" w:fill="CFF0FC"/>
          </w:tcPr>
          <w:p>
            <w:pPr>
              <w:spacing w:after="0" w:line="19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to SMLP's Current Report on Form 8-K dated June 17, 2013 (Commission File No. 001-35666))</w:t>
              </w:r>
            </w:hyperlink>
          </w:p>
        </w:tc>
        <w:tc>
          <w:tcPr>
            <w:tcW w:w="2820" w:type="dxa"/>
            <w:vAlign w:val="bottom"/>
            <w:tcBorders>
              <w:bottom w:val="single" w:sz="8" w:color="CFF0FC"/>
            </w:tcBorders>
            <w:gridSpan w:val="22"/>
            <w:shd w:val="clear" w:color="auto" w:fill="CFF0FC"/>
          </w:tcPr>
          <w:p>
            <w:pPr>
              <w:spacing w:after="0"/>
              <w:rPr>
                <w:sz w:val="21"/>
                <w:szCs w:val="21"/>
                <w:color w:val="auto"/>
              </w:rPr>
            </w:pPr>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10.21</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90"/>
              </w:rPr>
            </w:pPr>
            <w:hyperlink r:id="rId272">
              <w:r>
                <w:rPr>
                  <w:rFonts w:ascii="Arial" w:cs="Arial" w:eastAsia="Arial" w:hAnsi="Arial"/>
                  <w:sz w:val="18"/>
                  <w:szCs w:val="18"/>
                  <w:color w:val="0000EE"/>
                  <w:w w:val="90"/>
                </w:rPr>
                <w:t>Joinder Agreement, dated as of June 4, 2013, by and among Summit Midstream Holdings, LLC, The Royal Bank of Scotland plc, as</w:t>
              </w:r>
            </w:hyperlink>
          </w:p>
        </w:tc>
        <w:tc>
          <w:tcPr>
            <w:tcW w:w="240" w:type="dxa"/>
            <w:vAlign w:val="bottom"/>
            <w:gridSpan w:val="11"/>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w w:val="94"/>
              </w:rPr>
            </w:pPr>
            <w:hyperlink r:id="rId272">
              <w:r>
                <w:rPr>
                  <w:rFonts w:ascii="Arial" w:cs="Arial" w:eastAsia="Arial" w:hAnsi="Arial"/>
                  <w:sz w:val="18"/>
                  <w:szCs w:val="18"/>
                  <w:color w:val="0000EE"/>
                  <w:w w:val="94"/>
                </w:rPr>
                <w:t>Administrative Agent, and the lenders party thereto (Incorporated herein by reference to Exhibit 10.2 to SMLP's Current Report on</w:t>
              </w:r>
            </w:hyperlink>
          </w:p>
        </w:tc>
      </w:tr>
      <w:tr>
        <w:trPr>
          <w:trHeight w:val="196"/>
        </w:trPr>
        <w:tc>
          <w:tcPr>
            <w:tcW w:w="1460" w:type="dxa"/>
            <w:vAlign w:val="bottom"/>
          </w:tcPr>
          <w:p>
            <w:pPr>
              <w:spacing w:after="0"/>
              <w:rPr>
                <w:sz w:val="17"/>
                <w:szCs w:val="17"/>
                <w:color w:val="auto"/>
              </w:rPr>
            </w:pPr>
          </w:p>
        </w:tc>
        <w:tc>
          <w:tcPr>
            <w:tcW w:w="9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Form 8-K dated June 5, 2013 (Commission File No. 001-35666))</w:t>
              </w:r>
            </w:hyperlink>
          </w:p>
        </w:tc>
        <w:tc>
          <w:tcPr>
            <w:tcW w:w="340" w:type="dxa"/>
            <w:vAlign w:val="bottom"/>
            <w:gridSpan w:val="14"/>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10.22</w:t>
            </w:r>
          </w:p>
        </w:tc>
        <w:tc>
          <w:tcPr>
            <w:tcW w:w="9740" w:type="dxa"/>
            <w:vAlign w:val="bottom"/>
            <w:tcBorders>
              <w:bottom w:val="single" w:sz="8" w:color="0000EE"/>
            </w:tcBorders>
            <w:gridSpan w:val="28"/>
            <w:shd w:val="clear" w:color="auto" w:fill="CFF0FC"/>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Third Amended and Restated Credit Agreement dated as of May 26, 2017 (Incorporated herein by reference to Exhibit 10.1 to SMLP's</w:t>
              </w:r>
            </w:hyperlink>
          </w:p>
        </w:tc>
        <w:tc>
          <w:tcPr>
            <w:tcW w:w="40" w:type="dxa"/>
            <w:vAlign w:val="bottom"/>
            <w:tcBorders>
              <w:bottom w:val="single" w:sz="8" w:color="CFF0FC"/>
            </w:tcBorders>
            <w:gridSpan w:val="2"/>
            <w:shd w:val="clear" w:color="auto" w:fill="CFF0FC"/>
          </w:tcPr>
          <w:p>
            <w:pPr>
              <w:spacing w:after="0"/>
              <w:rPr>
                <w:sz w:val="18"/>
                <w:szCs w:val="18"/>
                <w:color w:val="auto"/>
              </w:rPr>
            </w:pPr>
          </w:p>
        </w:tc>
      </w:tr>
      <w:tr>
        <w:trPr>
          <w:trHeight w:val="244"/>
        </w:trPr>
        <w:tc>
          <w:tcPr>
            <w:tcW w:w="1460" w:type="dxa"/>
            <w:vAlign w:val="bottom"/>
            <w:tcBorders>
              <w:bottom w:val="single" w:sz="8" w:color="CFF0FC"/>
            </w:tcBorders>
            <w:shd w:val="clear" w:color="auto" w:fill="CFF0FC"/>
          </w:tcPr>
          <w:p>
            <w:pPr>
              <w:spacing w:after="0"/>
              <w:rPr>
                <w:sz w:val="21"/>
                <w:szCs w:val="21"/>
                <w:color w:val="auto"/>
              </w:rPr>
            </w:pPr>
          </w:p>
        </w:tc>
        <w:tc>
          <w:tcPr>
            <w:tcW w:w="6160" w:type="dxa"/>
            <w:vAlign w:val="bottom"/>
            <w:tcBorders>
              <w:bottom w:val="single" w:sz="8" w:color="0000EE"/>
            </w:tcBorders>
            <w:gridSpan w:val="6"/>
            <w:shd w:val="clear" w:color="auto" w:fill="CFF0FC"/>
          </w:tcPr>
          <w:p>
            <w:pPr>
              <w:spacing w:after="0" w:line="19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Current Report on Form 8-K dated May 30, 2017 (Commission File No. 001-35666))</w:t>
              </w:r>
            </w:hyperlink>
          </w:p>
        </w:tc>
        <w:tc>
          <w:tcPr>
            <w:tcW w:w="3620" w:type="dxa"/>
            <w:vAlign w:val="bottom"/>
            <w:tcBorders>
              <w:bottom w:val="single" w:sz="8" w:color="CFF0FC"/>
            </w:tcBorders>
            <w:gridSpan w:val="24"/>
            <w:shd w:val="clear" w:color="auto" w:fill="CFF0FC"/>
          </w:tcPr>
          <w:p>
            <w:pPr>
              <w:spacing w:after="0"/>
              <w:rPr>
                <w:sz w:val="21"/>
                <w:szCs w:val="21"/>
                <w:color w:val="auto"/>
              </w:rPr>
            </w:pPr>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10.23</w:t>
            </w:r>
          </w:p>
        </w:tc>
        <w:tc>
          <w:tcPr>
            <w:tcW w:w="9280" w:type="dxa"/>
            <w:vAlign w:val="bottom"/>
            <w:tcBorders>
              <w:bottom w:val="single" w:sz="8" w:color="0000EE"/>
            </w:tcBorders>
            <w:gridSpan w:val="13"/>
          </w:tcPr>
          <w:p>
            <w:pPr>
              <w:spacing w:after="0"/>
              <w:rPr>
                <w:rFonts w:ascii="Arial" w:cs="Arial" w:eastAsia="Arial" w:hAnsi="Arial"/>
                <w:sz w:val="18"/>
                <w:szCs w:val="18"/>
                <w:color w:val="0000EE"/>
                <w:w w:val="90"/>
              </w:rPr>
            </w:pPr>
            <w:hyperlink r:id="rId274">
              <w:r>
                <w:rPr>
                  <w:rFonts w:ascii="Arial" w:cs="Arial" w:eastAsia="Arial" w:hAnsi="Arial"/>
                  <w:sz w:val="18"/>
                  <w:szCs w:val="18"/>
                  <w:color w:val="0000EE"/>
                  <w:w w:val="90"/>
                </w:rPr>
                <w:t>First Amendment to the Third Amended and Restated Credit Agreement dated as of September 22, 2017 (Incorporated herein by</w:t>
              </w:r>
            </w:hyperlink>
          </w:p>
        </w:tc>
        <w:tc>
          <w:tcPr>
            <w:tcW w:w="500" w:type="dxa"/>
            <w:vAlign w:val="bottom"/>
            <w:gridSpan w:val="17"/>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w w:val="92"/>
              </w:rPr>
            </w:pPr>
            <w:hyperlink r:id="rId274">
              <w:r>
                <w:rPr>
                  <w:rFonts w:ascii="Arial" w:cs="Arial" w:eastAsia="Arial" w:hAnsi="Arial"/>
                  <w:sz w:val="18"/>
                  <w:szCs w:val="18"/>
                  <w:color w:val="0000EE"/>
                  <w:w w:val="92"/>
                </w:rPr>
                <w:t>reference to Exhibit 10.7 to SMLP’s Annual Report on Form 10-K for the fiscal year ended December 31, 2017 (Commission File No.</w:t>
              </w:r>
            </w:hyperlink>
          </w:p>
        </w:tc>
      </w:tr>
      <w:tr>
        <w:trPr>
          <w:trHeight w:val="196"/>
        </w:trPr>
        <w:tc>
          <w:tcPr>
            <w:tcW w:w="14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74">
              <w:r>
                <w:rPr>
                  <w:rFonts w:ascii="Arial" w:cs="Arial" w:eastAsia="Arial" w:hAnsi="Arial"/>
                  <w:sz w:val="18"/>
                  <w:szCs w:val="18"/>
                  <w:color w:val="0000EE"/>
                  <w:w w:val="89"/>
                </w:rPr>
                <w:t>001-35666))</w:t>
              </w:r>
            </w:hyperlink>
          </w:p>
        </w:tc>
        <w:tc>
          <w:tcPr>
            <w:tcW w:w="3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10.24</w:t>
            </w:r>
          </w:p>
        </w:tc>
        <w:tc>
          <w:tcPr>
            <w:tcW w:w="9680" w:type="dxa"/>
            <w:vAlign w:val="bottom"/>
            <w:tcBorders>
              <w:bottom w:val="single" w:sz="8" w:color="0000EE"/>
            </w:tcBorders>
            <w:gridSpan w:val="25"/>
            <w:shd w:val="clear" w:color="auto" w:fill="CFF0FC"/>
          </w:tcPr>
          <w:p>
            <w:pPr>
              <w:spacing w:after="0"/>
              <w:rPr>
                <w:rFonts w:ascii="Arial" w:cs="Arial" w:eastAsia="Arial" w:hAnsi="Arial"/>
                <w:sz w:val="18"/>
                <w:szCs w:val="18"/>
                <w:color w:val="0000EE"/>
                <w:w w:val="89"/>
              </w:rPr>
            </w:pPr>
            <w:hyperlink r:id="rId275">
              <w:r>
                <w:rPr>
                  <w:rFonts w:ascii="Arial" w:cs="Arial" w:eastAsia="Arial" w:hAnsi="Arial"/>
                  <w:sz w:val="18"/>
                  <w:szCs w:val="18"/>
                  <w:color w:val="0000EE"/>
                  <w:w w:val="89"/>
                </w:rPr>
                <w:t>Second Amendment to Third Amended and Restated Credit Agreement dated as of June 26, 2019 (Incorporated herein by reference to</w:t>
              </w:r>
            </w:hyperlink>
          </w:p>
        </w:tc>
        <w:tc>
          <w:tcPr>
            <w:tcW w:w="100" w:type="dxa"/>
            <w:vAlign w:val="bottom"/>
            <w:tcBorders>
              <w:bottom w:val="single" w:sz="8" w:color="CFF0FC"/>
            </w:tcBorders>
            <w:gridSpan w:val="5"/>
            <w:shd w:val="clear" w:color="auto" w:fill="CFF0FC"/>
          </w:tcPr>
          <w:p>
            <w:pPr>
              <w:spacing w:after="0"/>
              <w:rPr>
                <w:sz w:val="18"/>
                <w:szCs w:val="18"/>
                <w:color w:val="auto"/>
              </w:rPr>
            </w:pPr>
          </w:p>
        </w:tc>
      </w:tr>
      <w:tr>
        <w:trPr>
          <w:trHeight w:val="244"/>
        </w:trPr>
        <w:tc>
          <w:tcPr>
            <w:tcW w:w="1460" w:type="dxa"/>
            <w:vAlign w:val="bottom"/>
            <w:tcBorders>
              <w:bottom w:val="single" w:sz="8" w:color="CFF0FC"/>
            </w:tcBorders>
            <w:shd w:val="clear" w:color="auto" w:fill="CFF0FC"/>
          </w:tcPr>
          <w:p>
            <w:pPr>
              <w:spacing w:after="0"/>
              <w:rPr>
                <w:sz w:val="21"/>
                <w:szCs w:val="21"/>
                <w:color w:val="auto"/>
              </w:rPr>
            </w:pPr>
          </w:p>
        </w:tc>
        <w:tc>
          <w:tcPr>
            <w:tcW w:w="9780" w:type="dxa"/>
            <w:vAlign w:val="bottom"/>
            <w:tcBorders>
              <w:bottom w:val="single" w:sz="8" w:color="CFF0FC"/>
            </w:tcBorders>
            <w:gridSpan w:val="30"/>
            <w:shd w:val="clear" w:color="auto" w:fill="CFF0FC"/>
          </w:tcPr>
          <w:p>
            <w:pPr>
              <w:spacing w:after="0"/>
              <w:rPr>
                <w:rFonts w:ascii="Arial" w:cs="Arial" w:eastAsia="Arial" w:hAnsi="Arial"/>
                <w:sz w:val="18"/>
                <w:szCs w:val="18"/>
                <w:u w:val="single" w:color="auto"/>
                <w:color w:val="0000EE"/>
              </w:rPr>
            </w:pPr>
            <w:hyperlink r:id="rId275">
              <w:r>
                <w:rPr>
                  <w:rFonts w:ascii="Arial" w:cs="Arial" w:eastAsia="Arial" w:hAnsi="Arial"/>
                  <w:sz w:val="18"/>
                  <w:szCs w:val="18"/>
                  <w:u w:val="single" w:color="auto"/>
                  <w:color w:val="0000EE"/>
                </w:rPr>
                <w:t>Exhibit 10.2 to SMLP's Quarterly Report on Form 10-Q dated August 9, 2019 (Commission File No. 001-35666))</w:t>
              </w:r>
            </w:hyperlink>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10.25</w:t>
            </w:r>
          </w:p>
        </w:tc>
        <w:tc>
          <w:tcPr>
            <w:tcW w:w="9320" w:type="dxa"/>
            <w:vAlign w:val="bottom"/>
            <w:tcBorders>
              <w:bottom w:val="single" w:sz="8" w:color="0000EE"/>
            </w:tcBorders>
            <w:gridSpan w:val="14"/>
          </w:tcPr>
          <w:p>
            <w:pPr>
              <w:spacing w:after="0"/>
              <w:rPr>
                <w:rFonts w:ascii="Arial" w:cs="Arial" w:eastAsia="Arial" w:hAnsi="Arial"/>
                <w:sz w:val="18"/>
                <w:szCs w:val="18"/>
                <w:color w:val="0000EE"/>
                <w:w w:val="90"/>
              </w:rPr>
            </w:pPr>
            <w:hyperlink r:id="rId276">
              <w:r>
                <w:rPr>
                  <w:rFonts w:ascii="Arial" w:cs="Arial" w:eastAsia="Arial" w:hAnsi="Arial"/>
                  <w:sz w:val="18"/>
                  <w:szCs w:val="18"/>
                  <w:color w:val="0000EE"/>
                  <w:w w:val="90"/>
                </w:rPr>
                <w:t>Third Amendment to Third Amended and Restated Credit Agreement and Second Amendment to Second Amended and Restated</w:t>
              </w:r>
            </w:hyperlink>
          </w:p>
        </w:tc>
        <w:tc>
          <w:tcPr>
            <w:tcW w:w="460" w:type="dxa"/>
            <w:vAlign w:val="bottom"/>
            <w:gridSpan w:val="16"/>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5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76">
              <w:r>
                <w:rPr>
                  <w:rFonts w:ascii="Arial" w:cs="Arial" w:eastAsia="Arial" w:hAnsi="Arial"/>
                  <w:sz w:val="18"/>
                  <w:szCs w:val="18"/>
                  <w:color w:val="0000EE"/>
                  <w:w w:val="90"/>
                </w:rPr>
                <w:t>Guarantee and Collateral Agreement dated as of December 24, 2019 (Incorporated by reference to Exhibit 10.11 to SMLP’s Annual</w:t>
              </w:r>
            </w:hyperlink>
          </w:p>
        </w:tc>
        <w:tc>
          <w:tcPr>
            <w:tcW w:w="280" w:type="dxa"/>
            <w:vAlign w:val="bottom"/>
            <w:gridSpan w:val="1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Report on Form 10-K for the fiscal year ended December 31, 2019 (Commission File No. 001-35666))</w:t>
              </w:r>
            </w:hyperlink>
          </w:p>
        </w:tc>
      </w:tr>
      <w:tr>
        <w:trPr>
          <w:trHeight w:val="48"/>
        </w:trPr>
        <w:tc>
          <w:tcPr>
            <w:tcW w:w="146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10.26</w:t>
            </w:r>
          </w:p>
        </w:tc>
        <w:tc>
          <w:tcPr>
            <w:tcW w:w="9780" w:type="dxa"/>
            <w:vAlign w:val="bottom"/>
            <w:gridSpan w:val="30"/>
            <w:shd w:val="clear" w:color="auto" w:fill="CFF0FC"/>
          </w:tcPr>
          <w:p>
            <w:pPr>
              <w:spacing w:after="0"/>
              <w:rPr>
                <w:rFonts w:ascii="Arial" w:cs="Arial" w:eastAsia="Arial" w:hAnsi="Arial"/>
                <w:sz w:val="18"/>
                <w:szCs w:val="18"/>
                <w:color w:val="0000EE"/>
                <w:w w:val="95"/>
              </w:rPr>
            </w:pPr>
            <w:hyperlink r:id="rId277">
              <w:r>
                <w:rPr>
                  <w:rFonts w:ascii="Arial" w:cs="Arial" w:eastAsia="Arial" w:hAnsi="Arial"/>
                  <w:sz w:val="18"/>
                  <w:szCs w:val="18"/>
                  <w:color w:val="0000EE"/>
                  <w:w w:val="95"/>
                </w:rPr>
                <w:t>Fourth Amendment to Third Amended and Restated Credit Agreement and Third Amendment to Second Amended and Restated</w:t>
              </w:r>
            </w:hyperlink>
          </w:p>
        </w:tc>
      </w:tr>
      <w:tr>
        <w:trPr>
          <w:trHeight w:val="20"/>
        </w:trPr>
        <w:tc>
          <w:tcPr>
            <w:tcW w:w="146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6"/>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9540" w:type="dxa"/>
            <w:vAlign w:val="bottom"/>
            <w:tcBorders>
              <w:bottom w:val="single" w:sz="8" w:color="0000EE"/>
            </w:tcBorders>
            <w:gridSpan w:val="19"/>
            <w:shd w:val="clear" w:color="auto" w:fill="CFF0FC"/>
          </w:tcPr>
          <w:p>
            <w:pPr>
              <w:spacing w:after="0" w:line="196" w:lineRule="exact"/>
              <w:rPr>
                <w:rFonts w:ascii="Arial" w:cs="Arial" w:eastAsia="Arial" w:hAnsi="Arial"/>
                <w:sz w:val="18"/>
                <w:szCs w:val="18"/>
                <w:color w:val="0000EE"/>
                <w:w w:val="90"/>
              </w:rPr>
            </w:pPr>
            <w:hyperlink r:id="rId277">
              <w:r>
                <w:rPr>
                  <w:rFonts w:ascii="Arial" w:cs="Arial" w:eastAsia="Arial" w:hAnsi="Arial"/>
                  <w:sz w:val="18"/>
                  <w:szCs w:val="18"/>
                  <w:color w:val="0000EE"/>
                  <w:w w:val="90"/>
                </w:rPr>
                <w:t>Guarantee and Collateral Agreement, dated as of December 18, 2020, by and among Summit Midstream Holdings, LLC, each of the</w:t>
              </w:r>
            </w:hyperlink>
          </w:p>
        </w:tc>
        <w:tc>
          <w:tcPr>
            <w:tcW w:w="240" w:type="dxa"/>
            <w:vAlign w:val="bottom"/>
            <w:tcBorders>
              <w:bottom w:val="single" w:sz="8" w:color="CFF0FC"/>
            </w:tcBorders>
            <w:gridSpan w:val="11"/>
            <w:shd w:val="clear" w:color="auto" w:fill="CFF0FC"/>
          </w:tcPr>
          <w:p>
            <w:pPr>
              <w:spacing w:after="0"/>
              <w:rPr>
                <w:sz w:val="17"/>
                <w:szCs w:val="17"/>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30"/>
            <w:shd w:val="clear" w:color="auto" w:fill="CFF0FC"/>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other Loan Parties party thereto, Wells Fargo Bank, National Association, as administrative and collateral agent and the Lenders party</w:t>
              </w:r>
            </w:hyperlink>
          </w:p>
        </w:tc>
      </w:tr>
      <w:tr>
        <w:trPr>
          <w:trHeight w:val="222"/>
        </w:trPr>
        <w:tc>
          <w:tcPr>
            <w:tcW w:w="1460" w:type="dxa"/>
            <w:vAlign w:val="bottom"/>
            <w:tcBorders>
              <w:top w:val="single" w:sz="8" w:color="CFF0FC"/>
            </w:tcBorders>
            <w:shd w:val="clear" w:color="auto" w:fill="CFF0FC"/>
          </w:tcPr>
          <w:p>
            <w:pPr>
              <w:spacing w:after="0"/>
              <w:rPr>
                <w:sz w:val="19"/>
                <w:szCs w:val="19"/>
                <w:color w:val="auto"/>
              </w:rPr>
            </w:pPr>
          </w:p>
        </w:tc>
        <w:tc>
          <w:tcPr>
            <w:tcW w:w="9640" w:type="dxa"/>
            <w:vAlign w:val="bottom"/>
            <w:tcBorders>
              <w:top w:val="single" w:sz="8" w:color="0000EE"/>
            </w:tcBorders>
            <w:gridSpan w:val="23"/>
            <w:shd w:val="clear" w:color="auto" w:fill="CFF0FC"/>
          </w:tcPr>
          <w:p>
            <w:pPr>
              <w:spacing w:after="0"/>
              <w:rPr>
                <w:rFonts w:ascii="Arial" w:cs="Arial" w:eastAsia="Arial" w:hAnsi="Arial"/>
                <w:sz w:val="18"/>
                <w:szCs w:val="18"/>
                <w:u w:val="single" w:color="auto"/>
                <w:color w:val="0000EE"/>
                <w:w w:val="98"/>
              </w:rPr>
            </w:pPr>
            <w:hyperlink r:id="rId277">
              <w:r>
                <w:rPr>
                  <w:rFonts w:ascii="Arial" w:cs="Arial" w:eastAsia="Arial" w:hAnsi="Arial"/>
                  <w:sz w:val="18"/>
                  <w:szCs w:val="18"/>
                  <w:u w:val="single" w:color="auto"/>
                  <w:color w:val="0000EE"/>
                  <w:w w:val="98"/>
                </w:rPr>
                <w:t>thereto (Incorporated herein by reference to Exhibit 10.1 to SMLP’s Current.Report on Form 8-K dated December 18, 2020</w:t>
              </w:r>
            </w:hyperlink>
          </w:p>
        </w:tc>
        <w:tc>
          <w:tcPr>
            <w:tcW w:w="140" w:type="dxa"/>
            <w:vAlign w:val="bottom"/>
            <w:tcBorders>
              <w:top w:val="single" w:sz="8" w:color="CFF0FC"/>
            </w:tcBorders>
            <w:gridSpan w:val="7"/>
            <w:shd w:val="clear" w:color="auto" w:fill="CFF0FC"/>
          </w:tcPr>
          <w:p>
            <w:pPr>
              <w:spacing w:after="0"/>
              <w:rPr>
                <w:sz w:val="19"/>
                <w:szCs w:val="19"/>
                <w:color w:val="auto"/>
              </w:rPr>
            </w:pPr>
          </w:p>
        </w:tc>
      </w:tr>
      <w:tr>
        <w:trPr>
          <w:trHeight w:val="237"/>
        </w:trPr>
        <w:tc>
          <w:tcPr>
            <w:tcW w:w="1460" w:type="dxa"/>
            <w:vAlign w:val="bottom"/>
            <w:tcBorders>
              <w:bottom w:val="single" w:sz="8" w:color="CFF0FC"/>
            </w:tcBorders>
            <w:shd w:val="clear" w:color="auto" w:fill="CFF0FC"/>
          </w:tcPr>
          <w:p>
            <w:pPr>
              <w:spacing w:after="0"/>
              <w:rPr>
                <w:sz w:val="20"/>
                <w:szCs w:val="20"/>
                <w:color w:val="auto"/>
              </w:rPr>
            </w:pPr>
          </w:p>
        </w:tc>
        <w:tc>
          <w:tcPr>
            <w:tcW w:w="9780" w:type="dxa"/>
            <w:vAlign w:val="bottom"/>
            <w:tcBorders>
              <w:bottom w:val="single" w:sz="8" w:color="CFF0FC"/>
            </w:tcBorders>
            <w:gridSpan w:val="30"/>
            <w:shd w:val="clear" w:color="auto" w:fill="CFF0FC"/>
          </w:tcPr>
          <w:p>
            <w:pPr>
              <w:spacing w:after="0"/>
              <w:rPr>
                <w:rFonts w:ascii="Arial" w:cs="Arial" w:eastAsia="Arial" w:hAnsi="Arial"/>
                <w:sz w:val="18"/>
                <w:szCs w:val="18"/>
                <w:u w:val="single" w:color="auto"/>
                <w:color w:val="0000EE"/>
              </w:rPr>
            </w:pPr>
            <w:hyperlink r:id="rId277">
              <w:r>
                <w:rPr>
                  <w:rFonts w:ascii="Arial" w:cs="Arial" w:eastAsia="Arial" w:hAnsi="Arial"/>
                  <w:sz w:val="18"/>
                  <w:szCs w:val="18"/>
                  <w:u w:val="single" w:color="auto"/>
                  <w:color w:val="0000EE"/>
                </w:rPr>
                <w:t>(Commission File No. 01-35666))</w:t>
              </w:r>
            </w:hyperlink>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10.27</w:t>
            </w:r>
          </w:p>
        </w:tc>
        <w:tc>
          <w:tcPr>
            <w:tcW w:w="9780" w:type="dxa"/>
            <w:vAlign w:val="bottom"/>
            <w:gridSpan w:val="30"/>
          </w:tcPr>
          <w:p>
            <w:pPr>
              <w:spacing w:after="0"/>
              <w:rPr>
                <w:rFonts w:ascii="Arial" w:cs="Arial" w:eastAsia="Arial" w:hAnsi="Arial"/>
                <w:sz w:val="18"/>
                <w:szCs w:val="18"/>
                <w:color w:val="0000EE"/>
                <w:w w:val="92"/>
              </w:rPr>
            </w:pPr>
            <w:hyperlink r:id="rId278">
              <w:r>
                <w:rPr>
                  <w:rFonts w:ascii="Arial" w:cs="Arial" w:eastAsia="Arial" w:hAnsi="Arial"/>
                  <w:sz w:val="18"/>
                  <w:szCs w:val="18"/>
                  <w:color w:val="0000EE"/>
                  <w:w w:val="92"/>
                </w:rPr>
                <w:t>Amended and Restated Limited Liability Company Agreement of Summit Permian Transmission Holdco, LLC, dated as of December</w:t>
              </w:r>
            </w:hyperlink>
          </w:p>
        </w:tc>
      </w:tr>
      <w:tr>
        <w:trPr>
          <w:trHeight w:val="196"/>
        </w:trPr>
        <w:tc>
          <w:tcPr>
            <w:tcW w:w="1460" w:type="dxa"/>
            <w:vAlign w:val="bottom"/>
          </w:tcPr>
          <w:p>
            <w:pPr>
              <w:spacing w:after="0"/>
              <w:rPr>
                <w:sz w:val="17"/>
                <w:szCs w:val="17"/>
                <w:color w:val="auto"/>
              </w:rPr>
            </w:pPr>
          </w:p>
        </w:tc>
        <w:tc>
          <w:tcPr>
            <w:tcW w:w="9660" w:type="dxa"/>
            <w:vAlign w:val="bottom"/>
            <w:tcBorders>
              <w:top w:val="single" w:sz="8" w:color="0000EE"/>
            </w:tcBorders>
            <w:gridSpan w:val="24"/>
          </w:tcPr>
          <w:p>
            <w:pPr>
              <w:spacing w:after="0" w:line="19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24, 2019 (Incorporated by reference to Exhibit 10.12 to SMLP’s Annual Report on Form 10-K for the fiscal year ended December 31,</w:t>
              </w:r>
            </w:hyperlink>
          </w:p>
        </w:tc>
        <w:tc>
          <w:tcPr>
            <w:tcW w:w="120" w:type="dxa"/>
            <w:vAlign w:val="bottom"/>
            <w:gridSpan w:val="6"/>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78">
              <w:r>
                <w:rPr>
                  <w:rFonts w:ascii="Arial" w:cs="Arial" w:eastAsia="Arial" w:hAnsi="Arial"/>
                  <w:sz w:val="18"/>
                  <w:szCs w:val="18"/>
                  <w:color w:val="0000EE"/>
                </w:rPr>
                <w:t>2019 (Commission File No. 001-35666))</w:t>
              </w:r>
            </w:hyperlink>
          </w:p>
        </w:tc>
        <w:tc>
          <w:tcPr>
            <w:tcW w:w="140" w:type="dxa"/>
            <w:vAlign w:val="bottom"/>
            <w:gridSpan w:val="7"/>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10.28</w:t>
            </w:r>
          </w:p>
        </w:tc>
        <w:tc>
          <w:tcPr>
            <w:tcW w:w="9260" w:type="dxa"/>
            <w:vAlign w:val="bottom"/>
            <w:tcBorders>
              <w:bottom w:val="single" w:sz="8" w:color="0000EE"/>
              <w:right w:val="single" w:sz="8" w:color="CFF0FC"/>
            </w:tcBorders>
            <w:gridSpan w:val="12"/>
            <w:shd w:val="clear" w:color="auto" w:fill="CFF0FC"/>
          </w:tcPr>
          <w:p>
            <w:pPr>
              <w:spacing w:after="0"/>
              <w:rPr>
                <w:rFonts w:ascii="Arial" w:cs="Arial" w:eastAsia="Arial" w:hAnsi="Arial"/>
                <w:sz w:val="18"/>
                <w:szCs w:val="18"/>
                <w:color w:val="0000EE"/>
                <w:w w:val="89"/>
              </w:rPr>
            </w:pPr>
            <w:hyperlink r:id="rId279">
              <w:r>
                <w:rPr>
                  <w:rFonts w:ascii="Arial" w:cs="Arial" w:eastAsia="Arial" w:hAnsi="Arial"/>
                  <w:sz w:val="18"/>
                  <w:szCs w:val="18"/>
                  <w:color w:val="0000EE"/>
                  <w:w w:val="89"/>
                </w:rPr>
                <w:t>Amended and Restated Guarantee and Collateral Agreement dated as of November 1, 2013 (Incorporated herein by reference to</w:t>
              </w:r>
            </w:hyperlink>
          </w:p>
        </w:tc>
        <w:tc>
          <w:tcPr>
            <w:tcW w:w="520" w:type="dxa"/>
            <w:vAlign w:val="bottom"/>
            <w:tcBorders>
              <w:bottom w:val="single" w:sz="8" w:color="CFF0FC"/>
            </w:tcBorders>
            <w:gridSpan w:val="18"/>
            <w:shd w:val="clear" w:color="auto" w:fill="CFF0FC"/>
          </w:tcPr>
          <w:p>
            <w:pPr>
              <w:spacing w:after="0"/>
              <w:rPr>
                <w:sz w:val="18"/>
                <w:szCs w:val="18"/>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30"/>
            <w:shd w:val="clear" w:color="auto" w:fill="CFF0FC"/>
          </w:tcPr>
          <w:p>
            <w:pPr>
              <w:spacing w:after="0" w:line="196" w:lineRule="exact"/>
              <w:rPr>
                <w:rFonts w:ascii="Arial" w:cs="Arial" w:eastAsia="Arial" w:hAnsi="Arial"/>
                <w:sz w:val="18"/>
                <w:szCs w:val="18"/>
                <w:color w:val="0000EE"/>
                <w:w w:val="93"/>
              </w:rPr>
            </w:pPr>
            <w:hyperlink r:id="rId279">
              <w:r>
                <w:rPr>
                  <w:rFonts w:ascii="Arial" w:cs="Arial" w:eastAsia="Arial" w:hAnsi="Arial"/>
                  <w:sz w:val="18"/>
                  <w:szCs w:val="18"/>
                  <w:color w:val="0000EE"/>
                  <w:w w:val="93"/>
                </w:rPr>
                <w:t>Exhibit 10.7 to SMLP's 2013 Annual Report on Form 10-K for the fiscal year ended December 31, 2013 (Commission File No. 001-</w:t>
              </w:r>
            </w:hyperlink>
          </w:p>
        </w:tc>
      </w:tr>
      <w:tr>
        <w:trPr>
          <w:trHeight w:val="243"/>
        </w:trPr>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0000EE"/>
              <w:bottom w:val="single" w:sz="8" w:color="0000EE"/>
            </w:tcBorders>
            <w:shd w:val="clear" w:color="auto" w:fill="CFF0FC"/>
          </w:tcPr>
          <w:p>
            <w:pPr>
              <w:spacing w:after="0" w:line="196" w:lineRule="exact"/>
              <w:rPr>
                <w:rFonts w:ascii="Arial" w:cs="Arial" w:eastAsia="Arial" w:hAnsi="Arial"/>
                <w:sz w:val="18"/>
                <w:szCs w:val="18"/>
                <w:color w:val="0000EE"/>
                <w:w w:val="90"/>
              </w:rPr>
            </w:pPr>
            <w:hyperlink r:id="rId279">
              <w:r>
                <w:rPr>
                  <w:rFonts w:ascii="Arial" w:cs="Arial" w:eastAsia="Arial" w:hAnsi="Arial"/>
                  <w:sz w:val="18"/>
                  <w:szCs w:val="18"/>
                  <w:color w:val="0000EE"/>
                  <w:w w:val="90"/>
                </w:rPr>
                <w:t>35666)</w:t>
              </w:r>
              <w:r>
                <w:rPr>
                  <w:rFonts w:ascii="Arial" w:cs="Arial" w:eastAsia="Arial" w:hAnsi="Arial"/>
                  <w:sz w:val="18"/>
                  <w:szCs w:val="18"/>
                  <w:u w:val="single" w:color="auto"/>
                  <w:color w:val="0000EE"/>
                  <w:w w:val="90"/>
                </w:rPr>
                <w:t>)</w:t>
              </w:r>
            </w:hyperlink>
          </w:p>
        </w:tc>
        <w:tc>
          <w:tcPr>
            <w:tcW w:w="320" w:type="dxa"/>
            <w:vAlign w:val="bottom"/>
            <w:tcBorders>
              <w:top w:val="single" w:sz="8" w:color="0000EE"/>
              <w:bottom w:val="single" w:sz="8" w:color="CFF0FC"/>
            </w:tcBorders>
            <w:shd w:val="clear" w:color="auto" w:fill="CFF0FC"/>
          </w:tcPr>
          <w:p>
            <w:pPr>
              <w:spacing w:after="0"/>
              <w:rPr>
                <w:sz w:val="21"/>
                <w:szCs w:val="21"/>
                <w:color w:val="auto"/>
              </w:rPr>
            </w:pPr>
          </w:p>
        </w:tc>
        <w:tc>
          <w:tcPr>
            <w:tcW w:w="320" w:type="dxa"/>
            <w:vAlign w:val="bottom"/>
            <w:tcBorders>
              <w:top w:val="single" w:sz="8" w:color="0000EE"/>
              <w:bottom w:val="single" w:sz="8" w:color="CFF0FC"/>
            </w:tcBorders>
            <w:shd w:val="clear" w:color="auto" w:fill="CFF0FC"/>
          </w:tcPr>
          <w:p>
            <w:pPr>
              <w:spacing w:after="0"/>
              <w:rPr>
                <w:sz w:val="21"/>
                <w:szCs w:val="21"/>
                <w:color w:val="auto"/>
              </w:rPr>
            </w:pPr>
          </w:p>
        </w:tc>
        <w:tc>
          <w:tcPr>
            <w:tcW w:w="1740" w:type="dxa"/>
            <w:vAlign w:val="bottom"/>
            <w:tcBorders>
              <w:top w:val="single" w:sz="8" w:color="0000EE"/>
              <w:bottom w:val="single" w:sz="8" w:color="CFF0FC"/>
            </w:tcBorders>
            <w:shd w:val="clear" w:color="auto" w:fill="CFF0FC"/>
          </w:tcPr>
          <w:p>
            <w:pPr>
              <w:spacing w:after="0"/>
              <w:rPr>
                <w:sz w:val="21"/>
                <w:szCs w:val="21"/>
                <w:color w:val="auto"/>
              </w:rPr>
            </w:pPr>
          </w:p>
        </w:tc>
        <w:tc>
          <w:tcPr>
            <w:tcW w:w="1740" w:type="dxa"/>
            <w:vAlign w:val="bottom"/>
            <w:tcBorders>
              <w:top w:val="single" w:sz="8" w:color="0000EE"/>
              <w:bottom w:val="single" w:sz="8" w:color="CFF0FC"/>
            </w:tcBorders>
            <w:shd w:val="clear" w:color="auto" w:fill="CFF0FC"/>
          </w:tcPr>
          <w:p>
            <w:pPr>
              <w:spacing w:after="0"/>
              <w:rPr>
                <w:sz w:val="21"/>
                <w:szCs w:val="21"/>
                <w:color w:val="auto"/>
              </w:rPr>
            </w:pPr>
          </w:p>
        </w:tc>
        <w:tc>
          <w:tcPr>
            <w:tcW w:w="1460" w:type="dxa"/>
            <w:vAlign w:val="bottom"/>
            <w:tcBorders>
              <w:top w:val="single" w:sz="8" w:color="0000EE"/>
              <w:bottom w:val="single" w:sz="8" w:color="CFF0FC"/>
            </w:tcBorders>
            <w:shd w:val="clear" w:color="auto" w:fill="CFF0FC"/>
          </w:tcPr>
          <w:p>
            <w:pPr>
              <w:spacing w:after="0"/>
              <w:rPr>
                <w:sz w:val="21"/>
                <w:szCs w:val="21"/>
                <w:color w:val="auto"/>
              </w:rPr>
            </w:pPr>
          </w:p>
        </w:tc>
        <w:tc>
          <w:tcPr>
            <w:tcW w:w="620" w:type="dxa"/>
            <w:vAlign w:val="bottom"/>
            <w:tcBorders>
              <w:top w:val="single" w:sz="8" w:color="0000EE"/>
              <w:bottom w:val="single" w:sz="8" w:color="CFF0FC"/>
            </w:tcBorders>
            <w:shd w:val="clear" w:color="auto" w:fill="CFF0FC"/>
          </w:tcPr>
          <w:p>
            <w:pPr>
              <w:spacing w:after="0"/>
              <w:rPr>
                <w:sz w:val="21"/>
                <w:szCs w:val="21"/>
                <w:color w:val="auto"/>
              </w:rPr>
            </w:pPr>
          </w:p>
        </w:tc>
        <w:tc>
          <w:tcPr>
            <w:tcW w:w="180" w:type="dxa"/>
            <w:vAlign w:val="bottom"/>
            <w:tcBorders>
              <w:top w:val="single" w:sz="8" w:color="0000EE"/>
              <w:bottom w:val="single" w:sz="8" w:color="CFF0FC"/>
            </w:tcBorders>
            <w:shd w:val="clear" w:color="auto" w:fill="CFF0FC"/>
          </w:tcPr>
          <w:p>
            <w:pPr>
              <w:spacing w:after="0"/>
              <w:rPr>
                <w:sz w:val="21"/>
                <w:szCs w:val="21"/>
                <w:color w:val="auto"/>
              </w:rPr>
            </w:pPr>
          </w:p>
        </w:tc>
        <w:tc>
          <w:tcPr>
            <w:tcW w:w="440" w:type="dxa"/>
            <w:vAlign w:val="bottom"/>
            <w:tcBorders>
              <w:top w:val="single" w:sz="8" w:color="0000EE"/>
              <w:bottom w:val="single" w:sz="8" w:color="CFF0FC"/>
            </w:tcBorders>
            <w:shd w:val="clear" w:color="auto" w:fill="CFF0FC"/>
          </w:tcPr>
          <w:p>
            <w:pPr>
              <w:spacing w:after="0"/>
              <w:rPr>
                <w:sz w:val="21"/>
                <w:szCs w:val="21"/>
                <w:color w:val="auto"/>
              </w:rPr>
            </w:pPr>
          </w:p>
        </w:tc>
        <w:tc>
          <w:tcPr>
            <w:tcW w:w="1520" w:type="dxa"/>
            <w:vAlign w:val="bottom"/>
            <w:tcBorders>
              <w:top w:val="single" w:sz="8" w:color="0000EE"/>
              <w:bottom w:val="single" w:sz="8" w:color="CFF0FC"/>
            </w:tcBorders>
            <w:shd w:val="clear" w:color="auto" w:fill="CFF0FC"/>
          </w:tcPr>
          <w:p>
            <w:pPr>
              <w:spacing w:after="0"/>
              <w:rPr>
                <w:sz w:val="21"/>
                <w:szCs w:val="21"/>
                <w:color w:val="auto"/>
              </w:rPr>
            </w:pPr>
          </w:p>
        </w:tc>
        <w:tc>
          <w:tcPr>
            <w:tcW w:w="240" w:type="dxa"/>
            <w:vAlign w:val="bottom"/>
            <w:tcBorders>
              <w:top w:val="single" w:sz="8" w:color="0000EE"/>
              <w:bottom w:val="single" w:sz="8" w:color="CFF0FC"/>
            </w:tcBorders>
            <w:shd w:val="clear" w:color="auto" w:fill="CFF0FC"/>
          </w:tcPr>
          <w:p>
            <w:pPr>
              <w:spacing w:after="0"/>
              <w:rPr>
                <w:sz w:val="21"/>
                <w:szCs w:val="21"/>
                <w:color w:val="auto"/>
              </w:rPr>
            </w:pPr>
          </w:p>
        </w:tc>
        <w:tc>
          <w:tcPr>
            <w:tcW w:w="100" w:type="dxa"/>
            <w:vAlign w:val="bottom"/>
            <w:tcBorders>
              <w:top w:val="single" w:sz="8" w:color="0000EE"/>
              <w:bottom w:val="single" w:sz="8" w:color="CFF0FC"/>
              <w:right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100" w:type="dxa"/>
            <w:vAlign w:val="bottom"/>
            <w:tcBorders>
              <w:top w:val="single" w:sz="8" w:color="0000EE"/>
              <w:bottom w:val="single" w:sz="8" w:color="CFF0FC"/>
            </w:tcBorders>
            <w:shd w:val="clear" w:color="auto" w:fill="CFF0FC"/>
          </w:tcPr>
          <w:p>
            <w:pPr>
              <w:spacing w:after="0"/>
              <w:rPr>
                <w:sz w:val="21"/>
                <w:szCs w:val="21"/>
                <w:color w:val="auto"/>
              </w:rPr>
            </w:pPr>
          </w:p>
        </w:tc>
        <w:tc>
          <w:tcPr>
            <w:tcW w:w="6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10.29</w:t>
            </w:r>
          </w:p>
        </w:tc>
        <w:tc>
          <w:tcPr>
            <w:tcW w:w="9520" w:type="dxa"/>
            <w:vAlign w:val="bottom"/>
            <w:tcBorders>
              <w:bottom w:val="single" w:sz="8" w:color="0000EE"/>
            </w:tcBorders>
            <w:gridSpan w:val="18"/>
          </w:tcPr>
          <w:p>
            <w:pPr>
              <w:spacing w:after="0"/>
              <w:rPr>
                <w:rFonts w:ascii="Arial" w:cs="Arial" w:eastAsia="Arial" w:hAnsi="Arial"/>
                <w:sz w:val="18"/>
                <w:szCs w:val="18"/>
                <w:color w:val="0000EE"/>
                <w:w w:val="91"/>
              </w:rPr>
            </w:pPr>
            <w:hyperlink r:id="rId280">
              <w:r>
                <w:rPr>
                  <w:rFonts w:ascii="Arial" w:cs="Arial" w:eastAsia="Arial" w:hAnsi="Arial"/>
                  <w:sz w:val="18"/>
                  <w:szCs w:val="18"/>
                  <w:color w:val="0000EE"/>
                  <w:w w:val="91"/>
                </w:rPr>
                <w:t>Base Indenture, dated as of July 15, 2014, by and among Summit Midstream Holdings, LLC, Summit Midstream Finance Corp. and</w:t>
              </w:r>
            </w:hyperlink>
          </w:p>
        </w:tc>
        <w:tc>
          <w:tcPr>
            <w:tcW w:w="260" w:type="dxa"/>
            <w:vAlign w:val="bottom"/>
            <w:gridSpan w:val="12"/>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80">
              <w:r>
                <w:rPr>
                  <w:rFonts w:ascii="Arial" w:cs="Arial" w:eastAsia="Arial" w:hAnsi="Arial"/>
                  <w:sz w:val="18"/>
                  <w:szCs w:val="18"/>
                  <w:color w:val="0000EE"/>
                  <w:w w:val="91"/>
                </w:rPr>
                <w:t>U.S. Bank National Association (Incorporated herein by reference to Exhibit 4.1 to SMLP's Current Report on Form 8-K dated July 9,</w:t>
              </w:r>
            </w:hyperlink>
          </w:p>
        </w:tc>
        <w:tc>
          <w:tcPr>
            <w:tcW w:w="100" w:type="dxa"/>
            <w:vAlign w:val="bottom"/>
            <w:gridSpan w:val="5"/>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2014 (Commission File No. 001-35666))</w:t>
              </w:r>
            </w:hyperlink>
          </w:p>
        </w:tc>
      </w:tr>
      <w:tr>
        <w:trPr>
          <w:trHeight w:val="48"/>
        </w:trPr>
        <w:tc>
          <w:tcPr>
            <w:tcW w:w="146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10.30</w:t>
            </w:r>
          </w:p>
        </w:tc>
        <w:tc>
          <w:tcPr>
            <w:tcW w:w="9780" w:type="dxa"/>
            <w:vAlign w:val="bottom"/>
            <w:tcBorders>
              <w:bottom w:val="single" w:sz="8" w:color="0000EE"/>
            </w:tcBorders>
            <w:gridSpan w:val="30"/>
            <w:shd w:val="clear" w:color="auto" w:fill="CFF0FC"/>
          </w:tcPr>
          <w:p>
            <w:pPr>
              <w:spacing w:after="0"/>
              <w:rPr>
                <w:rFonts w:ascii="Arial" w:cs="Arial" w:eastAsia="Arial" w:hAnsi="Arial"/>
                <w:sz w:val="18"/>
                <w:szCs w:val="18"/>
                <w:color w:val="0000EE"/>
                <w:w w:val="91"/>
              </w:rPr>
            </w:pPr>
            <w:hyperlink r:id="rId281">
              <w:r>
                <w:rPr>
                  <w:rFonts w:ascii="Arial" w:cs="Arial" w:eastAsia="Arial" w:hAnsi="Arial"/>
                  <w:sz w:val="18"/>
                  <w:szCs w:val="18"/>
                  <w:color w:val="0000EE"/>
                  <w:w w:val="91"/>
                </w:rPr>
                <w:t>First Supplemental Indenture, dated as of July 15, 2014, by and among Summit Midstream Holdings, LLC, Summit Midstream Finance</w:t>
              </w:r>
            </w:hyperlink>
          </w:p>
        </w:tc>
      </w:tr>
      <w:tr>
        <w:trPr>
          <w:trHeight w:val="196"/>
        </w:trPr>
        <w:tc>
          <w:tcPr>
            <w:tcW w:w="1460" w:type="dxa"/>
            <w:vAlign w:val="bottom"/>
            <w:tcBorders>
              <w:bottom w:val="single" w:sz="8" w:color="CFF0FC"/>
            </w:tcBorders>
            <w:shd w:val="clear" w:color="auto" w:fill="CFF0FC"/>
          </w:tcPr>
          <w:p>
            <w:pPr>
              <w:spacing w:after="0"/>
              <w:rPr>
                <w:sz w:val="17"/>
                <w:szCs w:val="17"/>
                <w:color w:val="auto"/>
              </w:rPr>
            </w:pPr>
          </w:p>
        </w:tc>
        <w:tc>
          <w:tcPr>
            <w:tcW w:w="8920" w:type="dxa"/>
            <w:vAlign w:val="bottom"/>
            <w:tcBorders>
              <w:bottom w:val="single" w:sz="8" w:color="0000EE"/>
            </w:tcBorders>
            <w:gridSpan w:val="10"/>
            <w:shd w:val="clear" w:color="auto" w:fill="CFF0FC"/>
          </w:tcPr>
          <w:p>
            <w:pPr>
              <w:spacing w:after="0" w:line="196" w:lineRule="exact"/>
              <w:rPr>
                <w:rFonts w:ascii="Arial" w:cs="Arial" w:eastAsia="Arial" w:hAnsi="Arial"/>
                <w:sz w:val="18"/>
                <w:szCs w:val="18"/>
                <w:color w:val="0000EE"/>
                <w:w w:val="91"/>
              </w:rPr>
            </w:pPr>
            <w:hyperlink r:id="rId281">
              <w:r>
                <w:rPr>
                  <w:rFonts w:ascii="Arial" w:cs="Arial" w:eastAsia="Arial" w:hAnsi="Arial"/>
                  <w:sz w:val="18"/>
                  <w:szCs w:val="18"/>
                  <w:color w:val="0000EE"/>
                  <w:w w:val="91"/>
                </w:rPr>
                <w:t>Corp., the Guarantors party thereto and U.S. Bank National Association (including form of the 5½% senior notes due 2022)</w:t>
              </w:r>
            </w:hyperlink>
          </w:p>
        </w:tc>
        <w:tc>
          <w:tcPr>
            <w:tcW w:w="860" w:type="dxa"/>
            <w:vAlign w:val="bottom"/>
            <w:tcBorders>
              <w:bottom w:val="single" w:sz="8" w:color="CFF0FC"/>
            </w:tcBorders>
            <w:gridSpan w:val="20"/>
            <w:shd w:val="clear" w:color="auto" w:fill="CFF0FC"/>
          </w:tcPr>
          <w:p>
            <w:pPr>
              <w:spacing w:after="0"/>
              <w:rPr>
                <w:sz w:val="17"/>
                <w:szCs w:val="17"/>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30"/>
            <w:shd w:val="clear" w:color="auto" w:fill="CFF0FC"/>
          </w:tcPr>
          <w:p>
            <w:pPr>
              <w:spacing w:after="0" w:line="196" w:lineRule="exact"/>
              <w:rPr>
                <w:rFonts w:ascii="Arial" w:cs="Arial" w:eastAsia="Arial" w:hAnsi="Arial"/>
                <w:sz w:val="18"/>
                <w:szCs w:val="18"/>
                <w:color w:val="0000EE"/>
                <w:w w:val="91"/>
              </w:rPr>
            </w:pPr>
            <w:hyperlink r:id="rId281">
              <w:r>
                <w:rPr>
                  <w:rFonts w:ascii="Arial" w:cs="Arial" w:eastAsia="Arial" w:hAnsi="Arial"/>
                  <w:sz w:val="18"/>
                  <w:szCs w:val="18"/>
                  <w:color w:val="0000EE"/>
                  <w:w w:val="91"/>
                </w:rPr>
                <w:t>(Incorporated herein by reference to Exhibit 4.2 to SMLP's Current Report on Form 8-K dated July 9, 2014 (Commission File No. 001-</w:t>
              </w:r>
            </w:hyperlink>
          </w:p>
        </w:tc>
      </w:tr>
      <w:tr>
        <w:trPr>
          <w:trHeight w:val="244"/>
        </w:trPr>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0000EE"/>
              <w:bottom w:val="single" w:sz="8" w:color="0000EE"/>
            </w:tcBorders>
            <w:shd w:val="clear" w:color="auto" w:fill="CFF0FC"/>
          </w:tcPr>
          <w:p>
            <w:pPr>
              <w:spacing w:after="0" w:line="19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35666)</w:t>
              </w:r>
              <w:r>
                <w:rPr>
                  <w:rFonts w:ascii="Arial" w:cs="Arial" w:eastAsia="Arial" w:hAnsi="Arial"/>
                  <w:sz w:val="18"/>
                  <w:szCs w:val="18"/>
                  <w:u w:val="single" w:color="auto"/>
                  <w:color w:val="0000EE"/>
                  <w:w w:val="90"/>
                </w:rPr>
                <w:t>)</w:t>
              </w:r>
            </w:hyperlink>
          </w:p>
        </w:tc>
        <w:tc>
          <w:tcPr>
            <w:tcW w:w="320" w:type="dxa"/>
            <w:vAlign w:val="bottom"/>
            <w:tcBorders>
              <w:top w:val="single" w:sz="8" w:color="0000EE"/>
              <w:bottom w:val="single" w:sz="8" w:color="CFF0FC"/>
            </w:tcBorders>
            <w:shd w:val="clear" w:color="auto" w:fill="CFF0FC"/>
          </w:tcPr>
          <w:p>
            <w:pPr>
              <w:spacing w:after="0"/>
              <w:rPr>
                <w:sz w:val="21"/>
                <w:szCs w:val="21"/>
                <w:color w:val="auto"/>
              </w:rPr>
            </w:pPr>
          </w:p>
        </w:tc>
        <w:tc>
          <w:tcPr>
            <w:tcW w:w="320" w:type="dxa"/>
            <w:vAlign w:val="bottom"/>
            <w:tcBorders>
              <w:top w:val="single" w:sz="8" w:color="0000EE"/>
              <w:bottom w:val="single" w:sz="8" w:color="CFF0FC"/>
            </w:tcBorders>
            <w:shd w:val="clear" w:color="auto" w:fill="CFF0FC"/>
          </w:tcPr>
          <w:p>
            <w:pPr>
              <w:spacing w:after="0"/>
              <w:rPr>
                <w:sz w:val="21"/>
                <w:szCs w:val="21"/>
                <w:color w:val="auto"/>
              </w:rPr>
            </w:pPr>
          </w:p>
        </w:tc>
        <w:tc>
          <w:tcPr>
            <w:tcW w:w="1740" w:type="dxa"/>
            <w:vAlign w:val="bottom"/>
            <w:tcBorders>
              <w:top w:val="single" w:sz="8" w:color="0000EE"/>
              <w:bottom w:val="single" w:sz="8" w:color="CFF0FC"/>
            </w:tcBorders>
            <w:shd w:val="clear" w:color="auto" w:fill="CFF0FC"/>
          </w:tcPr>
          <w:p>
            <w:pPr>
              <w:spacing w:after="0"/>
              <w:rPr>
                <w:sz w:val="21"/>
                <w:szCs w:val="21"/>
                <w:color w:val="auto"/>
              </w:rPr>
            </w:pPr>
          </w:p>
        </w:tc>
        <w:tc>
          <w:tcPr>
            <w:tcW w:w="1740" w:type="dxa"/>
            <w:vAlign w:val="bottom"/>
            <w:tcBorders>
              <w:top w:val="single" w:sz="8" w:color="0000EE"/>
              <w:bottom w:val="single" w:sz="8" w:color="CFF0FC"/>
            </w:tcBorders>
            <w:shd w:val="clear" w:color="auto" w:fill="CFF0FC"/>
          </w:tcPr>
          <w:p>
            <w:pPr>
              <w:spacing w:after="0"/>
              <w:rPr>
                <w:sz w:val="21"/>
                <w:szCs w:val="21"/>
                <w:color w:val="auto"/>
              </w:rPr>
            </w:pPr>
          </w:p>
        </w:tc>
        <w:tc>
          <w:tcPr>
            <w:tcW w:w="1460" w:type="dxa"/>
            <w:vAlign w:val="bottom"/>
            <w:tcBorders>
              <w:top w:val="single" w:sz="8" w:color="0000EE"/>
              <w:bottom w:val="single" w:sz="8" w:color="CFF0FC"/>
            </w:tcBorders>
            <w:shd w:val="clear" w:color="auto" w:fill="CFF0FC"/>
          </w:tcPr>
          <w:p>
            <w:pPr>
              <w:spacing w:after="0"/>
              <w:rPr>
                <w:sz w:val="21"/>
                <w:szCs w:val="21"/>
                <w:color w:val="auto"/>
              </w:rPr>
            </w:pPr>
          </w:p>
        </w:tc>
        <w:tc>
          <w:tcPr>
            <w:tcW w:w="620" w:type="dxa"/>
            <w:vAlign w:val="bottom"/>
            <w:tcBorders>
              <w:top w:val="single" w:sz="8" w:color="0000EE"/>
              <w:bottom w:val="single" w:sz="8" w:color="CFF0FC"/>
            </w:tcBorders>
            <w:shd w:val="clear" w:color="auto" w:fill="CFF0FC"/>
          </w:tcPr>
          <w:p>
            <w:pPr>
              <w:spacing w:after="0"/>
              <w:rPr>
                <w:sz w:val="21"/>
                <w:szCs w:val="21"/>
                <w:color w:val="auto"/>
              </w:rPr>
            </w:pPr>
          </w:p>
        </w:tc>
        <w:tc>
          <w:tcPr>
            <w:tcW w:w="180" w:type="dxa"/>
            <w:vAlign w:val="bottom"/>
            <w:tcBorders>
              <w:top w:val="single" w:sz="8" w:color="0000EE"/>
              <w:bottom w:val="single" w:sz="8" w:color="CFF0FC"/>
            </w:tcBorders>
            <w:shd w:val="clear" w:color="auto" w:fill="CFF0FC"/>
          </w:tcPr>
          <w:p>
            <w:pPr>
              <w:spacing w:after="0"/>
              <w:rPr>
                <w:sz w:val="21"/>
                <w:szCs w:val="21"/>
                <w:color w:val="auto"/>
              </w:rPr>
            </w:pPr>
          </w:p>
        </w:tc>
        <w:tc>
          <w:tcPr>
            <w:tcW w:w="440" w:type="dxa"/>
            <w:vAlign w:val="bottom"/>
            <w:tcBorders>
              <w:top w:val="single" w:sz="8" w:color="0000EE"/>
              <w:bottom w:val="single" w:sz="8" w:color="CFF0FC"/>
            </w:tcBorders>
            <w:shd w:val="clear" w:color="auto" w:fill="CFF0FC"/>
          </w:tcPr>
          <w:p>
            <w:pPr>
              <w:spacing w:after="0"/>
              <w:rPr>
                <w:sz w:val="21"/>
                <w:szCs w:val="21"/>
                <w:color w:val="auto"/>
              </w:rPr>
            </w:pPr>
          </w:p>
        </w:tc>
        <w:tc>
          <w:tcPr>
            <w:tcW w:w="1520" w:type="dxa"/>
            <w:vAlign w:val="bottom"/>
            <w:tcBorders>
              <w:top w:val="single" w:sz="8" w:color="0000EE"/>
              <w:bottom w:val="single" w:sz="8" w:color="CFF0FC"/>
            </w:tcBorders>
            <w:shd w:val="clear" w:color="auto" w:fill="CFF0FC"/>
          </w:tcPr>
          <w:p>
            <w:pPr>
              <w:spacing w:after="0"/>
              <w:rPr>
                <w:sz w:val="21"/>
                <w:szCs w:val="21"/>
                <w:color w:val="auto"/>
              </w:rPr>
            </w:pPr>
          </w:p>
        </w:tc>
        <w:tc>
          <w:tcPr>
            <w:tcW w:w="240" w:type="dxa"/>
            <w:vAlign w:val="bottom"/>
            <w:tcBorders>
              <w:top w:val="single" w:sz="8" w:color="0000EE"/>
              <w:bottom w:val="single" w:sz="8" w:color="CFF0FC"/>
            </w:tcBorders>
            <w:shd w:val="clear" w:color="auto" w:fill="CFF0FC"/>
          </w:tcPr>
          <w:p>
            <w:pPr>
              <w:spacing w:after="0"/>
              <w:rPr>
                <w:sz w:val="21"/>
                <w:szCs w:val="21"/>
                <w:color w:val="auto"/>
              </w:rPr>
            </w:pPr>
          </w:p>
        </w:tc>
        <w:tc>
          <w:tcPr>
            <w:tcW w:w="100" w:type="dxa"/>
            <w:vAlign w:val="bottom"/>
            <w:tcBorders>
              <w:top w:val="single" w:sz="8" w:color="0000EE"/>
              <w:bottom w:val="single" w:sz="8" w:color="CFF0FC"/>
              <w:right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100" w:type="dxa"/>
            <w:vAlign w:val="bottom"/>
            <w:tcBorders>
              <w:top w:val="single" w:sz="8" w:color="0000EE"/>
              <w:bottom w:val="single" w:sz="8" w:color="CFF0FC"/>
            </w:tcBorders>
            <w:shd w:val="clear" w:color="auto" w:fill="CFF0FC"/>
          </w:tcPr>
          <w:p>
            <w:pPr>
              <w:spacing w:after="0"/>
              <w:rPr>
                <w:sz w:val="21"/>
                <w:szCs w:val="21"/>
                <w:color w:val="auto"/>
              </w:rPr>
            </w:pPr>
          </w:p>
        </w:tc>
        <w:tc>
          <w:tcPr>
            <w:tcW w:w="6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4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0000EE"/>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6"/>
        </w:trPr>
        <w:tc>
          <w:tcPr>
            <w:tcW w:w="1460" w:type="dxa"/>
            <w:vAlign w:val="bottom"/>
          </w:tcPr>
          <w:p>
            <w:pPr>
              <w:jc w:val="right"/>
              <w:ind w:right="630"/>
              <w:spacing w:after="0"/>
              <w:rPr>
                <w:sz w:val="20"/>
                <w:szCs w:val="20"/>
                <w:color w:val="auto"/>
              </w:rPr>
            </w:pPr>
            <w:r>
              <w:rPr>
                <w:rFonts w:ascii="Arial" w:cs="Arial" w:eastAsia="Arial" w:hAnsi="Arial"/>
                <w:sz w:val="18"/>
                <w:szCs w:val="18"/>
                <w:color w:val="auto"/>
              </w:rPr>
              <w:t>10.31</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1"/>
              </w:rPr>
            </w:pPr>
            <w:hyperlink r:id="rId282">
              <w:r>
                <w:rPr>
                  <w:rFonts w:ascii="Arial" w:cs="Arial" w:eastAsia="Arial" w:hAnsi="Arial"/>
                  <w:sz w:val="18"/>
                  <w:szCs w:val="18"/>
                  <w:color w:val="0000EE"/>
                  <w:w w:val="91"/>
                </w:rPr>
                <w:t>Second Supplemental Indenture, dated as of February 15, 2017, by and among Summit Midstream Holdings, LLC, Summit Midstream</w:t>
              </w:r>
            </w:hyperlink>
          </w:p>
        </w:tc>
        <w:tc>
          <w:tcPr>
            <w:tcW w:w="60" w:type="dxa"/>
            <w:vAlign w:val="bottom"/>
            <w:gridSpan w:val="3"/>
          </w:tcPr>
          <w:p>
            <w:pPr>
              <w:spacing w:after="0"/>
              <w:rPr>
                <w:sz w:val="18"/>
                <w:szCs w:val="18"/>
                <w:color w:val="auto"/>
              </w:rPr>
            </w:pPr>
          </w:p>
        </w:tc>
      </w:tr>
      <w:tr>
        <w:trPr>
          <w:trHeight w:val="196"/>
        </w:trPr>
        <w:tc>
          <w:tcPr>
            <w:tcW w:w="146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w w:val="92"/>
              </w:rPr>
            </w:pPr>
            <w:hyperlink r:id="rId282">
              <w:r>
                <w:rPr>
                  <w:rFonts w:ascii="Arial" w:cs="Arial" w:eastAsia="Arial" w:hAnsi="Arial"/>
                  <w:sz w:val="18"/>
                  <w:szCs w:val="18"/>
                  <w:color w:val="0000EE"/>
                  <w:w w:val="92"/>
                </w:rPr>
                <w:t>Finance Corp., the Guarantors party thereto and U.S. Bank National Association (including form of the 5.75% senior notes due 2025)</w:t>
              </w:r>
            </w:hyperlink>
          </w:p>
        </w:tc>
      </w:tr>
      <w:tr>
        <w:trPr>
          <w:trHeight w:val="196"/>
        </w:trPr>
        <w:tc>
          <w:tcPr>
            <w:tcW w:w="1460" w:type="dxa"/>
            <w:vAlign w:val="bottom"/>
          </w:tcPr>
          <w:p>
            <w:pPr>
              <w:spacing w:after="0"/>
              <w:rPr>
                <w:sz w:val="17"/>
                <w:szCs w:val="17"/>
                <w:color w:val="auto"/>
              </w:rPr>
            </w:pPr>
          </w:p>
        </w:tc>
        <w:tc>
          <w:tcPr>
            <w:tcW w:w="962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282">
              <w:r>
                <w:rPr>
                  <w:rFonts w:ascii="Arial" w:cs="Arial" w:eastAsia="Arial" w:hAnsi="Arial"/>
                  <w:sz w:val="18"/>
                  <w:szCs w:val="18"/>
                  <w:color w:val="0000EE"/>
                  <w:w w:val="92"/>
                </w:rPr>
                <w:t>(Incorporated herein by reference to Exhibit 4.2 to SMLP’s Current Report on Form 8-K dated February 17, 2017 (Commission File</w:t>
              </w:r>
            </w:hyperlink>
          </w:p>
        </w:tc>
        <w:tc>
          <w:tcPr>
            <w:tcW w:w="160" w:type="dxa"/>
            <w:vAlign w:val="bottom"/>
            <w:gridSpan w:val="8"/>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No. 001-35666))</w:t>
              </w:r>
            </w:hyperlink>
          </w:p>
        </w:tc>
        <w:tc>
          <w:tcPr>
            <w:tcW w:w="260" w:type="dxa"/>
            <w:vAlign w:val="bottom"/>
            <w:gridSpan w:val="12"/>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460" w:type="dxa"/>
            <w:vAlign w:val="bottom"/>
            <w:tcBorders>
              <w:bottom w:val="single" w:sz="8" w:color="CFF0FC"/>
            </w:tcBorders>
            <w:shd w:val="clear" w:color="auto" w:fill="CFF0FC"/>
          </w:tcPr>
          <w:p>
            <w:pPr>
              <w:jc w:val="right"/>
              <w:ind w:right="630"/>
              <w:spacing w:after="0"/>
              <w:rPr>
                <w:sz w:val="20"/>
                <w:szCs w:val="20"/>
                <w:color w:val="auto"/>
              </w:rPr>
            </w:pPr>
            <w:r>
              <w:rPr>
                <w:rFonts w:ascii="Arial" w:cs="Arial" w:eastAsia="Arial" w:hAnsi="Arial"/>
                <w:sz w:val="18"/>
                <w:szCs w:val="18"/>
                <w:color w:val="auto"/>
              </w:rPr>
              <w:t>10.32</w:t>
            </w:r>
          </w:p>
        </w:tc>
        <w:tc>
          <w:tcPr>
            <w:tcW w:w="9560" w:type="dxa"/>
            <w:vAlign w:val="bottom"/>
            <w:tcBorders>
              <w:bottom w:val="single" w:sz="8" w:color="0000EE"/>
            </w:tcBorders>
            <w:gridSpan w:val="20"/>
            <w:shd w:val="clear" w:color="auto" w:fill="CFF0FC"/>
          </w:tcPr>
          <w:p>
            <w:pPr>
              <w:spacing w:after="0"/>
              <w:rPr>
                <w:rFonts w:ascii="Arial" w:cs="Arial" w:eastAsia="Arial" w:hAnsi="Arial"/>
                <w:sz w:val="18"/>
                <w:szCs w:val="18"/>
                <w:color w:val="0000EE"/>
                <w:w w:val="90"/>
              </w:rPr>
            </w:pPr>
            <w:hyperlink r:id="rId283">
              <w:r>
                <w:rPr>
                  <w:rFonts w:ascii="Arial" w:cs="Arial" w:eastAsia="Arial" w:hAnsi="Arial"/>
                  <w:sz w:val="18"/>
                  <w:szCs w:val="18"/>
                  <w:color w:val="0000EE"/>
                  <w:w w:val="90"/>
                </w:rPr>
                <w:t>Equity Distribution Agreement, dated June 12, 2015, among the Partnership, the General Partner, the Operating Company, Citigroup</w:t>
              </w:r>
            </w:hyperlink>
          </w:p>
        </w:tc>
        <w:tc>
          <w:tcPr>
            <w:tcW w:w="220" w:type="dxa"/>
            <w:vAlign w:val="bottom"/>
            <w:tcBorders>
              <w:bottom w:val="single" w:sz="8" w:color="CFF0FC"/>
            </w:tcBorders>
            <w:gridSpan w:val="10"/>
            <w:shd w:val="clear" w:color="auto" w:fill="CFF0FC"/>
          </w:tcPr>
          <w:p>
            <w:pPr>
              <w:spacing w:after="0"/>
              <w:rPr>
                <w:sz w:val="18"/>
                <w:szCs w:val="18"/>
                <w:color w:val="auto"/>
              </w:rPr>
            </w:pPr>
          </w:p>
        </w:tc>
      </w:tr>
      <w:tr>
        <w:trPr>
          <w:trHeight w:val="196"/>
        </w:trPr>
        <w:tc>
          <w:tcPr>
            <w:tcW w:w="1460" w:type="dxa"/>
            <w:vAlign w:val="bottom"/>
            <w:shd w:val="clear" w:color="auto" w:fill="CFF0FC"/>
          </w:tcPr>
          <w:p>
            <w:pPr>
              <w:spacing w:after="0"/>
              <w:rPr>
                <w:sz w:val="17"/>
                <w:szCs w:val="17"/>
                <w:color w:val="auto"/>
              </w:rPr>
            </w:pPr>
          </w:p>
        </w:tc>
        <w:tc>
          <w:tcPr>
            <w:tcW w:w="9780" w:type="dxa"/>
            <w:vAlign w:val="bottom"/>
            <w:gridSpan w:val="30"/>
            <w:shd w:val="clear" w:color="auto" w:fill="CFF0FC"/>
          </w:tcPr>
          <w:p>
            <w:pPr>
              <w:spacing w:after="0" w:line="19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Global Markets Inc., Deutsche Bank Securities Inc. and RBC Capital Markets, LLC. (Incorporated herein by reference to Exhibit 1.1 to</w:t>
              </w:r>
            </w:hyperlink>
          </w:p>
        </w:tc>
      </w:tr>
      <w:tr>
        <w:trPr>
          <w:trHeight w:val="244"/>
        </w:trPr>
        <w:tc>
          <w:tcPr>
            <w:tcW w:w="1460" w:type="dxa"/>
            <w:vAlign w:val="bottom"/>
            <w:tcBorders>
              <w:top w:val="single" w:sz="8" w:color="CFF0FC"/>
            </w:tcBorders>
            <w:shd w:val="clear" w:color="auto" w:fill="CFF0FC"/>
          </w:tcPr>
          <w:p>
            <w:pPr>
              <w:spacing w:after="0"/>
              <w:rPr>
                <w:sz w:val="21"/>
                <w:szCs w:val="21"/>
                <w:color w:val="auto"/>
              </w:rPr>
            </w:pPr>
          </w:p>
        </w:tc>
        <w:tc>
          <w:tcPr>
            <w:tcW w:w="9760" w:type="dxa"/>
            <w:vAlign w:val="bottom"/>
            <w:tcBorders>
              <w:top w:val="single" w:sz="8" w:color="0000EE"/>
            </w:tcBorders>
            <w:gridSpan w:val="29"/>
            <w:shd w:val="clear" w:color="auto" w:fill="CFF0FC"/>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SMLP's Current Report on Form 8-K dated June 12, 2015 (Commission File No. 001-35666))</w:t>
              </w:r>
            </w:hyperlink>
          </w:p>
        </w:tc>
        <w:tc>
          <w:tcPr>
            <w:tcW w:w="20" w:type="dxa"/>
            <w:vAlign w:val="bottom"/>
            <w:tcBorders>
              <w:top w:val="single" w:sz="8" w:color="CFF0FC"/>
            </w:tcBorders>
            <w:shd w:val="clear" w:color="auto" w:fill="CFF0FC"/>
          </w:tcPr>
          <w:p>
            <w:pPr>
              <w:spacing w:after="0"/>
              <w:rPr>
                <w:sz w:val="21"/>
                <w:szCs w:val="21"/>
                <w:color w:val="auto"/>
              </w:rPr>
            </w:pPr>
          </w:p>
        </w:tc>
      </w:tr>
      <w:tr>
        <w:trPr>
          <w:trHeight w:val="432"/>
        </w:trPr>
        <w:tc>
          <w:tcPr>
            <w:tcW w:w="1460" w:type="dxa"/>
            <w:vAlign w:val="bottom"/>
            <w:tcBorders>
              <w:top w:val="single" w:sz="8" w:color="CFF0FC"/>
            </w:tcBorders>
          </w:tcPr>
          <w:p>
            <w:pPr>
              <w:spacing w:after="0"/>
              <w:rPr>
                <w:sz w:val="24"/>
                <w:szCs w:val="24"/>
                <w:color w:val="auto"/>
              </w:rPr>
            </w:pPr>
          </w:p>
        </w:tc>
        <w:tc>
          <w:tcPr>
            <w:tcW w:w="4700" w:type="dxa"/>
            <w:vAlign w:val="bottom"/>
            <w:tcBorders>
              <w:top w:val="single" w:sz="8" w:color="0000EE"/>
            </w:tcBorders>
            <w:gridSpan w:val="5"/>
          </w:tcPr>
          <w:p>
            <w:pPr>
              <w:ind w:left="4020"/>
              <w:spacing w:after="0"/>
              <w:rPr>
                <w:sz w:val="20"/>
                <w:szCs w:val="20"/>
                <w:color w:val="auto"/>
              </w:rPr>
            </w:pPr>
            <w:r>
              <w:rPr>
                <w:rFonts w:ascii="Arial" w:cs="Arial" w:eastAsia="Arial" w:hAnsi="Arial"/>
                <w:sz w:val="18"/>
                <w:szCs w:val="18"/>
                <w:color w:val="auto"/>
              </w:rPr>
              <w:t>164</w:t>
            </w:r>
          </w:p>
        </w:tc>
        <w:tc>
          <w:tcPr>
            <w:tcW w:w="14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460" w:right="180" w:hanging="1126"/>
        <w:spacing w:after="0" w:line="263" w:lineRule="auto"/>
        <w:tabs>
          <w:tab w:leader="none" w:pos="144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286">
        <w:r>
          <w:rPr>
            <w:rFonts w:ascii="Arial" w:cs="Arial" w:eastAsia="Arial" w:hAnsi="Arial"/>
            <w:sz w:val="18"/>
            <w:szCs w:val="18"/>
            <w:u w:val="single" w:color="auto"/>
            <w:color w:val="0000EE"/>
          </w:rPr>
          <w:t>Contribution Agreement between Summit Midstream Partners Holdings, LLC and Summit Midstream Partners, LP dated as of</w:t>
        </w:r>
      </w:hyperlink>
      <w:r>
        <w:rPr>
          <w:rFonts w:ascii="Arial" w:cs="Arial" w:eastAsia="Arial" w:hAnsi="Arial"/>
          <w:sz w:val="18"/>
          <w:szCs w:val="18"/>
          <w:u w:val="single" w:color="auto"/>
          <w:color w:val="0000EE"/>
        </w:rPr>
        <w:t xml:space="preserve"> </w:t>
      </w:r>
      <w:hyperlink r:id="rId286">
        <w:r>
          <w:rPr>
            <w:rFonts w:ascii="Arial" w:cs="Arial" w:eastAsia="Arial" w:hAnsi="Arial"/>
            <w:sz w:val="18"/>
            <w:szCs w:val="18"/>
            <w:u w:val="single" w:color="auto"/>
            <w:color w:val="0000EE"/>
          </w:rPr>
          <w:t>February 25, 2016 (Incorporated herein by reference to Exhibit 10.1 to SMLP's Form 8-K filed March 1, 2016 (Commission File No.</w:t>
        </w:r>
      </w:hyperlink>
      <w:r>
        <w:rPr>
          <w:rFonts w:ascii="Arial" w:cs="Arial" w:eastAsia="Arial" w:hAnsi="Arial"/>
          <w:sz w:val="18"/>
          <w:szCs w:val="18"/>
          <w:u w:val="single" w:color="auto"/>
          <w:color w:val="0000EE"/>
        </w:rPr>
        <w:t xml:space="preserve"> </w:t>
      </w:r>
      <w:hyperlink r:id="rId286">
        <w:r>
          <w:rPr>
            <w:rFonts w:ascii="Arial" w:cs="Arial" w:eastAsia="Arial" w:hAnsi="Arial"/>
            <w:sz w:val="18"/>
            <w:szCs w:val="18"/>
            <w:u w:val="single" w:color="auto"/>
            <w:color w:val="0000EE"/>
          </w:rPr>
          <w:t>001-35666))</w:t>
        </w:r>
      </w:hyperlink>
    </w:p>
    <w:p>
      <w:pPr>
        <w:spacing w:after="0" w:line="9"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10.34</w:t>
            </w:r>
          </w:p>
        </w:tc>
        <w:tc>
          <w:tcPr>
            <w:tcW w:w="520" w:type="dxa"/>
            <w:vAlign w:val="bottom"/>
            <w:tcBorders>
              <w:bottom w:val="single" w:sz="8" w:color="CFF0FC"/>
            </w:tcBorders>
            <w:shd w:val="clear" w:color="auto" w:fill="CFF0FC"/>
          </w:tcPr>
          <w:p>
            <w:pPr>
              <w:spacing w:after="0"/>
              <w:rPr>
                <w:sz w:val="18"/>
                <w:szCs w:val="18"/>
                <w:color w:val="auto"/>
              </w:rPr>
            </w:pPr>
          </w:p>
        </w:tc>
        <w:tc>
          <w:tcPr>
            <w:tcW w:w="9440" w:type="dxa"/>
            <w:vAlign w:val="bottom"/>
            <w:tcBorders>
              <w:bottom w:val="single" w:sz="8" w:color="0000EE"/>
            </w:tcBorders>
            <w:gridSpan w:val="17"/>
            <w:shd w:val="clear" w:color="auto" w:fill="CFF0FC"/>
          </w:tcPr>
          <w:p>
            <w:pPr>
              <w:spacing w:after="0"/>
              <w:rPr>
                <w:rFonts w:ascii="Arial" w:cs="Arial" w:eastAsia="Arial" w:hAnsi="Arial"/>
                <w:sz w:val="18"/>
                <w:szCs w:val="18"/>
                <w:color w:val="0000EE"/>
                <w:w w:val="91"/>
              </w:rPr>
            </w:pPr>
            <w:hyperlink r:id="rId287">
              <w:r>
                <w:rPr>
                  <w:rFonts w:ascii="Arial" w:cs="Arial" w:eastAsia="Arial" w:hAnsi="Arial"/>
                  <w:sz w:val="18"/>
                  <w:szCs w:val="18"/>
                  <w:color w:val="0000EE"/>
                  <w:w w:val="91"/>
                </w:rPr>
                <w:t>Amendment to Contribution Agreement between Summit Midstream Partners Holdings, LLC and Summit Midstream Partners, LP</w:t>
              </w:r>
            </w:hyperlink>
          </w:p>
        </w:tc>
        <w:tc>
          <w:tcPr>
            <w:tcW w:w="340" w:type="dxa"/>
            <w:vAlign w:val="bottom"/>
            <w:tcBorders>
              <w:bottom w:val="single" w:sz="8" w:color="CFF0FC"/>
            </w:tcBorders>
            <w:gridSpan w:val="14"/>
            <w:shd w:val="clear" w:color="auto" w:fill="CFF0FC"/>
          </w:tcPr>
          <w:p>
            <w:pPr>
              <w:spacing w:after="0"/>
              <w:rPr>
                <w:sz w:val="18"/>
                <w:szCs w:val="18"/>
                <w:color w:val="auto"/>
              </w:rPr>
            </w:pPr>
          </w:p>
        </w:tc>
      </w:tr>
      <w:tr>
        <w:trPr>
          <w:trHeight w:val="196"/>
        </w:trPr>
        <w:tc>
          <w:tcPr>
            <w:tcW w:w="9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9680" w:type="dxa"/>
            <w:vAlign w:val="bottom"/>
            <w:tcBorders>
              <w:bottom w:val="single" w:sz="8" w:color="0000EE"/>
            </w:tcBorders>
            <w:gridSpan w:val="27"/>
            <w:shd w:val="clear" w:color="auto" w:fill="CFF0FC"/>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dated February 25, 2019 (Incorporated herein by reference to Exhibit 10.3 to SMLP's Current Report on Form 8-K dated February 26,</w:t>
              </w:r>
            </w:hyperlink>
          </w:p>
        </w:tc>
        <w:tc>
          <w:tcPr>
            <w:tcW w:w="100" w:type="dxa"/>
            <w:vAlign w:val="bottom"/>
            <w:tcBorders>
              <w:bottom w:val="single" w:sz="8" w:color="CFF0FC"/>
            </w:tcBorders>
            <w:gridSpan w:val="4"/>
            <w:shd w:val="clear" w:color="auto" w:fill="CFF0FC"/>
          </w:tcPr>
          <w:p>
            <w:pPr>
              <w:spacing w:after="0"/>
              <w:rPr>
                <w:sz w:val="17"/>
                <w:szCs w:val="17"/>
                <w:color w:val="auto"/>
              </w:rPr>
            </w:pPr>
          </w:p>
        </w:tc>
      </w:tr>
      <w:tr>
        <w:trPr>
          <w:trHeight w:val="243"/>
        </w:trPr>
        <w:tc>
          <w:tcPr>
            <w:tcW w:w="9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960" w:type="dxa"/>
            <w:vAlign w:val="bottom"/>
            <w:tcBorders>
              <w:bottom w:val="single" w:sz="8" w:color="0000EE"/>
            </w:tcBorders>
            <w:gridSpan w:val="4"/>
            <w:shd w:val="clear" w:color="auto" w:fill="CFF0FC"/>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2019 (Commission File No. 001-35666))</w:t>
              </w:r>
            </w:hyperlink>
          </w:p>
        </w:tc>
        <w:tc>
          <w:tcPr>
            <w:tcW w:w="6820" w:type="dxa"/>
            <w:vAlign w:val="bottom"/>
            <w:tcBorders>
              <w:bottom w:val="single" w:sz="8" w:color="CFF0FC"/>
            </w:tcBorders>
            <w:gridSpan w:val="27"/>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10.35</w:t>
            </w:r>
          </w:p>
        </w:tc>
        <w:tc>
          <w:tcPr>
            <w:tcW w:w="520" w:type="dxa"/>
            <w:vAlign w:val="bottom"/>
          </w:tcPr>
          <w:p>
            <w:pPr>
              <w:spacing w:after="0"/>
              <w:rPr>
                <w:sz w:val="18"/>
                <w:szCs w:val="18"/>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91"/>
              </w:rPr>
            </w:pPr>
            <w:hyperlink r:id="rId288">
              <w:r>
                <w:rPr>
                  <w:rFonts w:ascii="Arial" w:cs="Arial" w:eastAsia="Arial" w:hAnsi="Arial"/>
                  <w:sz w:val="18"/>
                  <w:szCs w:val="18"/>
                  <w:color w:val="0000EE"/>
                  <w:w w:val="91"/>
                </w:rPr>
                <w:t>Amendment No. 2 to Contribution Agreement between Summit Midstream Partners Holdings, LLC and Summit Midstream Partners,</w:t>
              </w:r>
            </w:hyperlink>
          </w:p>
        </w:tc>
        <w:tc>
          <w:tcPr>
            <w:tcW w:w="160" w:type="dxa"/>
            <w:vAlign w:val="bottom"/>
            <w:gridSpan w:val="7"/>
          </w:tcPr>
          <w:p>
            <w:pPr>
              <w:spacing w:after="0"/>
              <w:rPr>
                <w:sz w:val="18"/>
                <w:szCs w:val="18"/>
                <w:color w:val="auto"/>
              </w:rPr>
            </w:pPr>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288">
              <w:r>
                <w:rPr>
                  <w:rFonts w:ascii="Arial" w:cs="Arial" w:eastAsia="Arial" w:hAnsi="Arial"/>
                  <w:sz w:val="18"/>
                  <w:szCs w:val="18"/>
                  <w:color w:val="0000EE"/>
                  <w:w w:val="91"/>
                </w:rPr>
                <w:t>LP dated November 7, 2019 (Incorporated herein by reference to Exhibit 10.1 to SMLP's Current Report on Form 8-K dated November</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gridSpan w:val="31"/>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8, 2019 (Commission File No. 001-35666))</w:t>
              </w:r>
            </w:hyperlink>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10.36</w:t>
            </w:r>
          </w:p>
        </w:tc>
        <w:tc>
          <w:tcPr>
            <w:tcW w:w="520" w:type="dxa"/>
            <w:vAlign w:val="bottom"/>
            <w:tcBorders>
              <w:bottom w:val="single" w:sz="8" w:color="CFF0FC"/>
            </w:tcBorders>
            <w:shd w:val="clear" w:color="auto" w:fill="CFF0FC"/>
          </w:tcPr>
          <w:p>
            <w:pPr>
              <w:spacing w:after="0"/>
              <w:rPr>
                <w:sz w:val="18"/>
                <w:szCs w:val="18"/>
                <w:color w:val="auto"/>
              </w:rPr>
            </w:pPr>
          </w:p>
        </w:tc>
        <w:tc>
          <w:tcPr>
            <w:tcW w:w="9740" w:type="dxa"/>
            <w:vAlign w:val="bottom"/>
            <w:tcBorders>
              <w:bottom w:val="single" w:sz="8" w:color="0000EE"/>
            </w:tcBorders>
            <w:gridSpan w:val="30"/>
            <w:shd w:val="clear" w:color="auto" w:fill="CFF0FC"/>
          </w:tcPr>
          <w:p>
            <w:pPr>
              <w:spacing w:after="0"/>
              <w:rPr>
                <w:rFonts w:ascii="Arial" w:cs="Arial" w:eastAsia="Arial" w:hAnsi="Arial"/>
                <w:sz w:val="18"/>
                <w:szCs w:val="18"/>
                <w:color w:val="0000EE"/>
                <w:w w:val="91"/>
              </w:rPr>
            </w:pPr>
            <w:hyperlink r:id="rId289">
              <w:r>
                <w:rPr>
                  <w:rFonts w:ascii="Arial" w:cs="Arial" w:eastAsia="Arial" w:hAnsi="Arial"/>
                  <w:sz w:val="18"/>
                  <w:szCs w:val="18"/>
                  <w:color w:val="0000EE"/>
                  <w:w w:val="91"/>
                </w:rPr>
                <w:t>Amendment No. 3 to Contribution Agreement, dated November 17, 2020, by and between Summit Midstream Partners Holdings, LLC</w:t>
              </w:r>
            </w:hyperlink>
          </w:p>
        </w:tc>
        <w:tc>
          <w:tcPr>
            <w:tcW w:w="40" w:type="dxa"/>
            <w:vAlign w:val="bottom"/>
            <w:tcBorders>
              <w:bottom w:val="single" w:sz="8" w:color="CFF0FC"/>
            </w:tcBorders>
            <w:shd w:val="clear" w:color="auto" w:fill="CFF0FC"/>
          </w:tcPr>
          <w:p>
            <w:pPr>
              <w:spacing w:after="0"/>
              <w:rPr>
                <w:sz w:val="18"/>
                <w:szCs w:val="18"/>
                <w:color w:val="auto"/>
              </w:rPr>
            </w:pPr>
          </w:p>
        </w:tc>
      </w:tr>
      <w:tr>
        <w:trPr>
          <w:trHeight w:val="196"/>
        </w:trPr>
        <w:tc>
          <w:tcPr>
            <w:tcW w:w="9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9600" w:type="dxa"/>
            <w:vAlign w:val="bottom"/>
            <w:tcBorders>
              <w:bottom w:val="single" w:sz="8" w:color="0000EE"/>
            </w:tcBorders>
            <w:gridSpan w:val="23"/>
            <w:shd w:val="clear" w:color="auto" w:fill="CFF0FC"/>
          </w:tcPr>
          <w:p>
            <w:pPr>
              <w:spacing w:after="0" w:line="19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and Summit Midstream Partners, LP (Incorporated herein by reference to Exhibit 10.4 to SMLP’s Current Report on Form 8-K dated</w:t>
              </w:r>
            </w:hyperlink>
          </w:p>
        </w:tc>
        <w:tc>
          <w:tcPr>
            <w:tcW w:w="180" w:type="dxa"/>
            <w:vAlign w:val="bottom"/>
            <w:tcBorders>
              <w:bottom w:val="single" w:sz="8" w:color="CFF0FC"/>
            </w:tcBorders>
            <w:gridSpan w:val="8"/>
            <w:shd w:val="clear" w:color="auto" w:fill="CFF0FC"/>
          </w:tcPr>
          <w:p>
            <w:pPr>
              <w:spacing w:after="0"/>
              <w:rPr>
                <w:sz w:val="17"/>
                <w:szCs w:val="17"/>
                <w:color w:val="auto"/>
              </w:rPr>
            </w:pPr>
          </w:p>
        </w:tc>
      </w:tr>
      <w:tr>
        <w:trPr>
          <w:trHeight w:val="244"/>
        </w:trPr>
        <w:tc>
          <w:tcPr>
            <w:tcW w:w="9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4040" w:type="dxa"/>
            <w:vAlign w:val="bottom"/>
            <w:tcBorders>
              <w:bottom w:val="single" w:sz="8" w:color="0000EE"/>
            </w:tcBorders>
            <w:gridSpan w:val="8"/>
            <w:shd w:val="clear" w:color="auto" w:fill="CFF0FC"/>
          </w:tcPr>
          <w:p>
            <w:pPr>
              <w:spacing w:after="0" w:line="19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November 17, 2020 (Commission File No. 001-35666))</w:t>
              </w:r>
            </w:hyperlink>
          </w:p>
        </w:tc>
        <w:tc>
          <w:tcPr>
            <w:tcW w:w="5740" w:type="dxa"/>
            <w:vAlign w:val="bottom"/>
            <w:tcBorders>
              <w:bottom w:val="single" w:sz="8" w:color="CFF0FC"/>
            </w:tcBorders>
            <w:gridSpan w:val="23"/>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520" w:type="dxa"/>
            <w:vAlign w:val="bottom"/>
          </w:tcPr>
          <w:p>
            <w:pPr>
              <w:spacing w:after="0"/>
              <w:rPr>
                <w:sz w:val="18"/>
                <w:szCs w:val="18"/>
                <w:color w:val="auto"/>
              </w:rPr>
            </w:pPr>
          </w:p>
        </w:tc>
        <w:tc>
          <w:tcPr>
            <w:tcW w:w="9700" w:type="dxa"/>
            <w:vAlign w:val="bottom"/>
            <w:tcBorders>
              <w:bottom w:val="single" w:sz="8" w:color="0000EE"/>
            </w:tcBorders>
            <w:gridSpan w:val="28"/>
          </w:tcPr>
          <w:p>
            <w:pPr>
              <w:spacing w:after="0"/>
              <w:rPr>
                <w:rFonts w:ascii="Arial" w:cs="Arial" w:eastAsia="Arial" w:hAnsi="Arial"/>
                <w:sz w:val="18"/>
                <w:szCs w:val="18"/>
                <w:color w:val="0000EE"/>
                <w:w w:val="91"/>
              </w:rPr>
            </w:pPr>
            <w:hyperlink r:id="rId290">
              <w:r>
                <w:rPr>
                  <w:rFonts w:ascii="Arial" w:cs="Arial" w:eastAsia="Arial" w:hAnsi="Arial"/>
                  <w:sz w:val="18"/>
                  <w:szCs w:val="18"/>
                  <w:color w:val="0000EE"/>
                  <w:w w:val="91"/>
                </w:rPr>
                <w:t>Equity Restructuring Agreement by and among Summit Midstream Partners, LP, Summit Midstream GP, LLC and Summit Midstream</w:t>
              </w:r>
            </w:hyperlink>
          </w:p>
        </w:tc>
        <w:tc>
          <w:tcPr>
            <w:tcW w:w="80" w:type="dxa"/>
            <w:vAlign w:val="bottom"/>
            <w:gridSpan w:val="3"/>
          </w:tcPr>
          <w:p>
            <w:pPr>
              <w:spacing w:after="0"/>
              <w:rPr>
                <w:sz w:val="18"/>
                <w:szCs w:val="18"/>
                <w:color w:val="auto"/>
              </w:rPr>
            </w:pPr>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90">
              <w:r>
                <w:rPr>
                  <w:rFonts w:ascii="Arial" w:cs="Arial" w:eastAsia="Arial" w:hAnsi="Arial"/>
                  <w:sz w:val="18"/>
                  <w:szCs w:val="18"/>
                  <w:color w:val="0000EE"/>
                  <w:w w:val="91"/>
                </w:rPr>
                <w:t>Partners Holdings, LLC dated as of February 25, 2019 (Incorporated herein by reference to Exhibit 10.4 to SMLP's Current Report on</w:t>
              </w:r>
            </w:hyperlink>
          </w:p>
        </w:tc>
        <w:tc>
          <w:tcPr>
            <w:tcW w:w="10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gridSpan w:val="31"/>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Form 8-K dated February 26, 2019 (Commission File No. 001-35666))</w:t>
              </w:r>
            </w:hyperlink>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10.38</w:t>
            </w:r>
          </w:p>
        </w:tc>
        <w:tc>
          <w:tcPr>
            <w:tcW w:w="10300" w:type="dxa"/>
            <w:vAlign w:val="bottom"/>
            <w:gridSpan w:val="32"/>
            <w:shd w:val="clear" w:color="auto" w:fill="CFF0FC"/>
          </w:tcPr>
          <w:p>
            <w:pPr>
              <w:ind w:left="2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91">
              <w:r>
                <w:rPr>
                  <w:rFonts w:ascii="Arial" w:cs="Arial" w:eastAsia="Arial" w:hAnsi="Arial"/>
                  <w:sz w:val="18"/>
                  <w:szCs w:val="18"/>
                  <w:color w:val="0000EE"/>
                  <w:w w:val="92"/>
                </w:rPr>
                <w:t>Amendment No. 1 to Employment Agreement, dated December 1, 2015, effective August 4, 2017, by and between Summit Midstream</w:t>
              </w:r>
            </w:hyperlink>
          </w:p>
        </w:tc>
      </w:tr>
      <w:tr>
        <w:trPr>
          <w:trHeight w:val="196"/>
        </w:trPr>
        <w:tc>
          <w:tcPr>
            <w:tcW w:w="94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9480" w:type="dxa"/>
            <w:vAlign w:val="bottom"/>
            <w:tcBorders>
              <w:top w:val="single" w:sz="8" w:color="0000EE"/>
              <w:bottom w:val="single" w:sz="8" w:color="0000EE"/>
            </w:tcBorders>
            <w:gridSpan w:val="19"/>
            <w:shd w:val="clear" w:color="auto" w:fill="CFF0FC"/>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Partners, LLC and Leonard Mallett (Incorporated herein by reference to Exhibit 10.2 to SMLP's Current Report on Form 8-K dated</w:t>
              </w:r>
            </w:hyperlink>
          </w:p>
        </w:tc>
        <w:tc>
          <w:tcPr>
            <w:tcW w:w="240" w:type="dxa"/>
            <w:vAlign w:val="bottom"/>
            <w:tcBorders>
              <w:top w:val="single" w:sz="8" w:color="0000EE"/>
              <w:bottom w:val="single" w:sz="8" w:color="CFF0FC"/>
            </w:tcBorders>
            <w:gridSpan w:val="10"/>
            <w:shd w:val="clear" w:color="auto" w:fill="CFF0FC"/>
          </w:tcPr>
          <w:p>
            <w:pPr>
              <w:spacing w:after="0"/>
              <w:rPr>
                <w:sz w:val="17"/>
                <w:szCs w:val="17"/>
                <w:color w:val="auto"/>
              </w:rPr>
            </w:pPr>
          </w:p>
        </w:tc>
        <w:tc>
          <w:tcPr>
            <w:tcW w:w="60" w:type="dxa"/>
            <w:vAlign w:val="bottom"/>
            <w:tcBorders>
              <w:top w:val="single" w:sz="8" w:color="CFF0FC"/>
              <w:bottom w:val="single" w:sz="8" w:color="CFF0FC"/>
            </w:tcBorders>
            <w:gridSpan w:val="2"/>
            <w:shd w:val="clear" w:color="auto" w:fill="CFF0FC"/>
          </w:tcPr>
          <w:p>
            <w:pPr>
              <w:spacing w:after="0"/>
              <w:rPr>
                <w:sz w:val="17"/>
                <w:szCs w:val="17"/>
                <w:color w:val="auto"/>
              </w:rPr>
            </w:pPr>
          </w:p>
        </w:tc>
      </w:tr>
      <w:tr>
        <w:trPr>
          <w:trHeight w:val="196"/>
        </w:trPr>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780" w:type="dxa"/>
            <w:vAlign w:val="bottom"/>
            <w:gridSpan w:val="31"/>
            <w:shd w:val="clear" w:color="auto" w:fill="CFF0FC"/>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August 8, 2017 (Commission File No. 001-35666))</w:t>
              </w:r>
            </w:hyperlink>
          </w:p>
        </w:tc>
      </w:tr>
      <w:tr>
        <w:trPr>
          <w:trHeight w:val="47"/>
        </w:trPr>
        <w:tc>
          <w:tcPr>
            <w:tcW w:w="940" w:type="dxa"/>
            <w:vAlign w:val="bottom"/>
            <w:tcBorders>
              <w:top w:val="single" w:sz="8" w:color="CFF0FC"/>
            </w:tcBorders>
            <w:shd w:val="clear" w:color="auto" w:fill="CFF0FC"/>
          </w:tcPr>
          <w:p>
            <w:pPr>
              <w:spacing w:after="0"/>
              <w:rPr>
                <w:sz w:val="4"/>
                <w:szCs w:val="4"/>
                <w:color w:val="auto"/>
              </w:rPr>
            </w:pPr>
          </w:p>
        </w:tc>
        <w:tc>
          <w:tcPr>
            <w:tcW w:w="52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0000EE"/>
            </w:tcBorders>
            <w:shd w:val="clear" w:color="auto" w:fill="CFF0FC"/>
          </w:tcPr>
          <w:p>
            <w:pPr>
              <w:spacing w:after="0"/>
              <w:rPr>
                <w:sz w:val="4"/>
                <w:szCs w:val="4"/>
                <w:color w:val="auto"/>
              </w:rPr>
            </w:pPr>
          </w:p>
        </w:tc>
        <w:tc>
          <w:tcPr>
            <w:tcW w:w="640" w:type="dxa"/>
            <w:vAlign w:val="bottom"/>
            <w:tcBorders>
              <w:top w:val="single" w:sz="8" w:color="0000EE"/>
            </w:tcBorders>
            <w:shd w:val="clear" w:color="auto" w:fill="CFF0FC"/>
          </w:tcPr>
          <w:p>
            <w:pPr>
              <w:spacing w:after="0"/>
              <w:rPr>
                <w:sz w:val="4"/>
                <w:szCs w:val="4"/>
                <w:color w:val="auto"/>
              </w:rPr>
            </w:pPr>
          </w:p>
        </w:tc>
        <w:tc>
          <w:tcPr>
            <w:tcW w:w="320" w:type="dxa"/>
            <w:vAlign w:val="bottom"/>
            <w:tcBorders>
              <w:top w:val="single" w:sz="8" w:color="0000EE"/>
            </w:tcBorders>
            <w:shd w:val="clear" w:color="auto" w:fill="CFF0FC"/>
          </w:tcPr>
          <w:p>
            <w:pPr>
              <w:spacing w:after="0"/>
              <w:rPr>
                <w:sz w:val="4"/>
                <w:szCs w:val="4"/>
                <w:color w:val="auto"/>
              </w:rPr>
            </w:pPr>
          </w:p>
        </w:tc>
        <w:tc>
          <w:tcPr>
            <w:tcW w:w="1420" w:type="dxa"/>
            <w:vAlign w:val="bottom"/>
            <w:tcBorders>
              <w:top w:val="single" w:sz="8" w:color="0000EE"/>
            </w:tcBorders>
            <w:shd w:val="clear" w:color="auto" w:fill="CFF0FC"/>
          </w:tcPr>
          <w:p>
            <w:pPr>
              <w:spacing w:after="0"/>
              <w:rPr>
                <w:sz w:val="4"/>
                <w:szCs w:val="4"/>
                <w:color w:val="auto"/>
              </w:rPr>
            </w:pPr>
          </w:p>
        </w:tc>
        <w:tc>
          <w:tcPr>
            <w:tcW w:w="180" w:type="dxa"/>
            <w:vAlign w:val="bottom"/>
            <w:tcBorders>
              <w:top w:val="single" w:sz="8" w:color="0000EE"/>
            </w:tcBorders>
            <w:shd w:val="clear" w:color="auto" w:fill="CFF0FC"/>
          </w:tcPr>
          <w:p>
            <w:pPr>
              <w:spacing w:after="0"/>
              <w:rPr>
                <w:sz w:val="4"/>
                <w:szCs w:val="4"/>
                <w:color w:val="auto"/>
              </w:rPr>
            </w:pPr>
          </w:p>
        </w:tc>
        <w:tc>
          <w:tcPr>
            <w:tcW w:w="560" w:type="dxa"/>
            <w:vAlign w:val="bottom"/>
            <w:tcBorders>
              <w:top w:val="single" w:sz="8" w:color="0000EE"/>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640" w:type="dxa"/>
            <w:vAlign w:val="bottom"/>
            <w:tcBorders>
              <w:top w:val="single" w:sz="8" w:color="CFF0FC"/>
            </w:tcBorders>
            <w:shd w:val="clear" w:color="auto" w:fill="CFF0FC"/>
          </w:tcPr>
          <w:p>
            <w:pPr>
              <w:spacing w:after="0"/>
              <w:rPr>
                <w:sz w:val="4"/>
                <w:szCs w:val="4"/>
                <w:color w:val="auto"/>
              </w:rPr>
            </w:pPr>
          </w:p>
        </w:tc>
        <w:tc>
          <w:tcPr>
            <w:tcW w:w="2360" w:type="dxa"/>
            <w:vAlign w:val="bottom"/>
            <w:tcBorders>
              <w:top w:val="single" w:sz="8" w:color="CFF0FC"/>
            </w:tcBorders>
            <w:shd w:val="clear" w:color="auto" w:fill="CFF0FC"/>
          </w:tcPr>
          <w:p>
            <w:pPr>
              <w:spacing w:after="0"/>
              <w:rPr>
                <w:sz w:val="4"/>
                <w:szCs w:val="4"/>
                <w:color w:val="auto"/>
              </w:rPr>
            </w:pPr>
          </w:p>
        </w:tc>
        <w:tc>
          <w:tcPr>
            <w:tcW w:w="1580" w:type="dxa"/>
            <w:vAlign w:val="bottom"/>
            <w:tcBorders>
              <w:top w:val="single" w:sz="8" w:color="CFF0FC"/>
              <w:right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left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10.39</w:t>
            </w:r>
          </w:p>
        </w:tc>
        <w:tc>
          <w:tcPr>
            <w:tcW w:w="10300" w:type="dxa"/>
            <w:vAlign w:val="bottom"/>
            <w:gridSpan w:val="32"/>
          </w:tcPr>
          <w:p>
            <w:pPr>
              <w:ind w:left="2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92">
              <w:r>
                <w:rPr>
                  <w:rFonts w:ascii="Arial" w:cs="Arial" w:eastAsia="Arial" w:hAnsi="Arial"/>
                  <w:sz w:val="18"/>
                  <w:szCs w:val="18"/>
                  <w:color w:val="0000EE"/>
                  <w:w w:val="92"/>
                </w:rPr>
                <w:t>Second Amended and Restated Employment Agreement, effective March 1, 2017, by and between Summit Midstream Partners, LLC</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292">
              <w:r>
                <w:rPr>
                  <w:rFonts w:ascii="Arial" w:cs="Arial" w:eastAsia="Arial" w:hAnsi="Arial"/>
                  <w:sz w:val="18"/>
                  <w:szCs w:val="18"/>
                  <w:color w:val="0000EE"/>
                  <w:w w:val="91"/>
                </w:rPr>
                <w:t>and Brad N. Graves (Incorporated herein by reference to Exhibit 10.24 to SMLP’s Annual Report on Form 10-K for the fiscal year</w:t>
              </w:r>
            </w:hyperlink>
          </w:p>
        </w:tc>
        <w:tc>
          <w:tcPr>
            <w:tcW w:w="180" w:type="dxa"/>
            <w:vAlign w:val="bottom"/>
            <w:tcBorders>
              <w:top w:val="single" w:sz="8" w:color="0000EE"/>
            </w:tcBorders>
            <w:gridSpan w:val="7"/>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80" w:type="dxa"/>
            <w:vAlign w:val="bottom"/>
            <w:gridSpan w:val="31"/>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ended December 31, 2016 (Commission File No. 001-35666))</w:t>
              </w:r>
            </w:hyperlink>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10.40</w:t>
            </w:r>
          </w:p>
        </w:tc>
        <w:tc>
          <w:tcPr>
            <w:tcW w:w="10300" w:type="dxa"/>
            <w:vAlign w:val="bottom"/>
            <w:gridSpan w:val="32"/>
            <w:shd w:val="clear" w:color="auto" w:fill="CFF0FC"/>
          </w:tcPr>
          <w:p>
            <w:pPr>
              <w:ind w:left="2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93">
              <w:r>
                <w:rPr>
                  <w:rFonts w:ascii="Arial" w:cs="Arial" w:eastAsia="Arial" w:hAnsi="Arial"/>
                  <w:sz w:val="18"/>
                  <w:szCs w:val="18"/>
                  <w:color w:val="0000EE"/>
                  <w:w w:val="95"/>
                </w:rPr>
                <w:t>Separation and General Release Agreement, effective as of August 7, 2020, by and between Summit Midstream Partners, LP and</w:t>
              </w:r>
            </w:hyperlink>
          </w:p>
        </w:tc>
      </w:tr>
      <w:tr>
        <w:trPr>
          <w:trHeight w:val="20"/>
        </w:trPr>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FF0FC"/>
            </w:tcBorders>
            <w:gridSpan w:val="3"/>
            <w:shd w:val="clear" w:color="auto" w:fill="CFF0FC"/>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gridSpan w:val="3"/>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gridSpan w:val="4"/>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780" w:type="dxa"/>
            <w:vAlign w:val="bottom"/>
            <w:gridSpan w:val="31"/>
            <w:shd w:val="clear" w:color="auto" w:fill="CFF0FC"/>
          </w:tcPr>
          <w:p>
            <w:pPr>
              <w:spacing w:after="0" w:line="196" w:lineRule="exact"/>
              <w:rPr>
                <w:rFonts w:ascii="Arial" w:cs="Arial" w:eastAsia="Arial" w:hAnsi="Arial"/>
                <w:sz w:val="18"/>
                <w:szCs w:val="18"/>
                <w:color w:val="0000EE"/>
                <w:w w:val="93"/>
              </w:rPr>
            </w:pPr>
            <w:hyperlink r:id="rId293">
              <w:r>
                <w:rPr>
                  <w:rFonts w:ascii="Arial" w:cs="Arial" w:eastAsia="Arial" w:hAnsi="Arial"/>
                  <w:sz w:val="18"/>
                  <w:szCs w:val="18"/>
                  <w:color w:val="0000EE"/>
                  <w:w w:val="93"/>
                </w:rPr>
                <w:t>Brock Degeyter (Incorporated herein by reference to Exhibit 10.3 to SMLP’s Form 10-Q dated November 6, 2020 (Commission File</w:t>
              </w:r>
            </w:hyperlink>
          </w:p>
        </w:tc>
      </w:tr>
      <w:tr>
        <w:trPr>
          <w:trHeight w:val="244"/>
        </w:trPr>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shd w:val="clear" w:color="auto" w:fill="CFF0FC"/>
          </w:tcPr>
          <w:p>
            <w:pPr>
              <w:spacing w:after="0"/>
              <w:rPr>
                <w:sz w:val="21"/>
                <w:szCs w:val="21"/>
                <w:color w:val="auto"/>
              </w:rPr>
            </w:pPr>
          </w:p>
        </w:tc>
        <w:tc>
          <w:tcPr>
            <w:tcW w:w="1220" w:type="dxa"/>
            <w:vAlign w:val="bottom"/>
            <w:tcBorders>
              <w:top w:val="single" w:sz="8" w:color="0000EE"/>
              <w:bottom w:val="single" w:sz="8" w:color="0000EE"/>
            </w:tcBorders>
            <w:gridSpan w:val="2"/>
            <w:shd w:val="clear" w:color="auto" w:fill="CFF0FC"/>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No. 001-35666))</w:t>
              </w:r>
            </w:hyperlink>
          </w:p>
        </w:tc>
        <w:tc>
          <w:tcPr>
            <w:tcW w:w="8340" w:type="dxa"/>
            <w:vAlign w:val="bottom"/>
            <w:tcBorders>
              <w:top w:val="single" w:sz="8" w:color="0000EE"/>
              <w:bottom w:val="single" w:sz="8" w:color="CFF0FC"/>
            </w:tcBorders>
            <w:gridSpan w:val="19"/>
            <w:shd w:val="clear" w:color="auto" w:fill="CFF0FC"/>
          </w:tcPr>
          <w:p>
            <w:pPr>
              <w:spacing w:after="0"/>
              <w:rPr>
                <w:sz w:val="21"/>
                <w:szCs w:val="21"/>
                <w:color w:val="auto"/>
              </w:rPr>
            </w:pPr>
          </w:p>
        </w:tc>
        <w:tc>
          <w:tcPr>
            <w:tcW w:w="220" w:type="dxa"/>
            <w:vAlign w:val="bottom"/>
            <w:tcBorders>
              <w:top w:val="single" w:sz="8" w:color="CFF0FC"/>
              <w:bottom w:val="single" w:sz="8" w:color="CFF0FC"/>
            </w:tcBorders>
            <w:gridSpan w:val="10"/>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10300" w:type="dxa"/>
            <w:vAlign w:val="bottom"/>
            <w:gridSpan w:val="32"/>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183">
              <w:r>
                <w:rPr>
                  <w:rFonts w:ascii="Arial" w:cs="Arial" w:eastAsia="Arial" w:hAnsi="Arial"/>
                  <w:sz w:val="18"/>
                  <w:szCs w:val="18"/>
                  <w:color w:val="0000EE"/>
                  <w:w w:val="92"/>
                </w:rPr>
                <w:t>Amended and Restated Employment Agreement, effective September 1, 2020, by and between Summit Midstream Partners, LLC and</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Marc D. Stratton</w:t>
              </w:r>
            </w:hyperlink>
          </w:p>
        </w:tc>
        <w:tc>
          <w:tcPr>
            <w:tcW w:w="120" w:type="dxa"/>
            <w:vAlign w:val="bottom"/>
            <w:gridSpan w:val="5"/>
          </w:tcPr>
          <w:p>
            <w:pPr>
              <w:spacing w:after="0"/>
              <w:rPr>
                <w:sz w:val="17"/>
                <w:szCs w:val="17"/>
                <w:color w:val="auto"/>
              </w:rPr>
            </w:pPr>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10.42</w:t>
            </w:r>
          </w:p>
        </w:tc>
        <w:tc>
          <w:tcPr>
            <w:tcW w:w="10300" w:type="dxa"/>
            <w:vAlign w:val="bottom"/>
            <w:gridSpan w:val="32"/>
            <w:shd w:val="clear" w:color="auto" w:fill="CFF0FC"/>
          </w:tcPr>
          <w:p>
            <w:pPr>
              <w:ind w:left="28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294">
              <w:r>
                <w:rPr>
                  <w:rFonts w:ascii="Arial" w:cs="Arial" w:eastAsia="Arial" w:hAnsi="Arial"/>
                  <w:sz w:val="18"/>
                  <w:szCs w:val="18"/>
                  <w:color w:val="0000EE"/>
                  <w:w w:val="99"/>
                </w:rPr>
                <w:t>Employment Agreement effective March 1, 2019, by and between Summit Midstream Partners, LLC and Louise E. Matthews</w:t>
              </w:r>
            </w:hyperlink>
          </w:p>
        </w:tc>
      </w:tr>
      <w:tr>
        <w:trPr>
          <w:trHeight w:val="20"/>
        </w:trPr>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CFF0FC"/>
            </w:tcBorders>
            <w:gridSpan w:val="3"/>
            <w:shd w:val="clear" w:color="auto" w:fill="CFF0FC"/>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60" w:type="dxa"/>
            <w:vAlign w:val="bottom"/>
            <w:gridSpan w:val="3"/>
            <w:shd w:val="clear" w:color="auto" w:fill="CFF0FC"/>
          </w:tcPr>
          <w:p>
            <w:pPr>
              <w:spacing w:after="0" w:line="20" w:lineRule="exact"/>
              <w:rPr>
                <w:sz w:val="1"/>
                <w:szCs w:val="1"/>
                <w:color w:val="auto"/>
              </w:rPr>
            </w:pPr>
          </w:p>
        </w:tc>
        <w:tc>
          <w:tcPr>
            <w:tcW w:w="100" w:type="dxa"/>
            <w:vAlign w:val="bottom"/>
            <w:gridSpan w:val="5"/>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780" w:type="dxa"/>
            <w:vAlign w:val="bottom"/>
            <w:gridSpan w:val="31"/>
            <w:shd w:val="clear" w:color="auto" w:fill="CFF0FC"/>
          </w:tcPr>
          <w:p>
            <w:pPr>
              <w:spacing w:after="0" w:line="196" w:lineRule="exact"/>
              <w:rPr>
                <w:rFonts w:ascii="Arial" w:cs="Arial" w:eastAsia="Arial" w:hAnsi="Arial"/>
                <w:sz w:val="18"/>
                <w:szCs w:val="18"/>
                <w:color w:val="0000EE"/>
                <w:w w:val="93"/>
              </w:rPr>
            </w:pPr>
            <w:hyperlink r:id="rId294">
              <w:r>
                <w:rPr>
                  <w:rFonts w:ascii="Arial" w:cs="Arial" w:eastAsia="Arial" w:hAnsi="Arial"/>
                  <w:sz w:val="18"/>
                  <w:szCs w:val="18"/>
                  <w:color w:val="0000EE"/>
                  <w:w w:val="93"/>
                </w:rPr>
                <w:t>(Incorporated herein by reference to Exhibit 10.1 to SMLP’s Current Report on Form 8-K dated February 6, 2019 (Commission File</w:t>
              </w:r>
            </w:hyperlink>
          </w:p>
        </w:tc>
      </w:tr>
      <w:tr>
        <w:trPr>
          <w:trHeight w:val="243"/>
        </w:trPr>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shd w:val="clear" w:color="auto" w:fill="CFF0FC"/>
          </w:tcPr>
          <w:p>
            <w:pPr>
              <w:spacing w:after="0"/>
              <w:rPr>
                <w:sz w:val="21"/>
                <w:szCs w:val="21"/>
                <w:color w:val="auto"/>
              </w:rPr>
            </w:pPr>
          </w:p>
        </w:tc>
        <w:tc>
          <w:tcPr>
            <w:tcW w:w="1540" w:type="dxa"/>
            <w:vAlign w:val="bottom"/>
            <w:tcBorders>
              <w:top w:val="single" w:sz="8" w:color="0000EE"/>
              <w:bottom w:val="single" w:sz="8" w:color="0000EE"/>
            </w:tcBorders>
            <w:gridSpan w:val="3"/>
            <w:shd w:val="clear" w:color="auto" w:fill="CFF0FC"/>
          </w:tcPr>
          <w:p>
            <w:pPr>
              <w:spacing w:after="0" w:line="196" w:lineRule="exact"/>
              <w:rPr>
                <w:rFonts w:ascii="Arial" w:cs="Arial" w:eastAsia="Arial" w:hAnsi="Arial"/>
                <w:sz w:val="18"/>
                <w:szCs w:val="18"/>
                <w:color w:val="0000EE"/>
                <w:w w:val="90"/>
              </w:rPr>
            </w:pPr>
            <w:hyperlink r:id="rId294">
              <w:r>
                <w:rPr>
                  <w:rFonts w:ascii="Arial" w:cs="Arial" w:eastAsia="Arial" w:hAnsi="Arial"/>
                  <w:sz w:val="18"/>
                  <w:szCs w:val="18"/>
                  <w:color w:val="0000EE"/>
                  <w:w w:val="90"/>
                </w:rPr>
                <w:t>Number 001-35666))</w:t>
              </w:r>
            </w:hyperlink>
          </w:p>
        </w:tc>
        <w:tc>
          <w:tcPr>
            <w:tcW w:w="7980" w:type="dxa"/>
            <w:vAlign w:val="bottom"/>
            <w:tcBorders>
              <w:top w:val="single" w:sz="8" w:color="0000EE"/>
              <w:bottom w:val="single" w:sz="8" w:color="CFF0FC"/>
            </w:tcBorders>
            <w:gridSpan w:val="17"/>
            <w:shd w:val="clear" w:color="auto" w:fill="CFF0FC"/>
          </w:tcPr>
          <w:p>
            <w:pPr>
              <w:spacing w:after="0"/>
              <w:rPr>
                <w:sz w:val="21"/>
                <w:szCs w:val="21"/>
                <w:color w:val="auto"/>
              </w:rPr>
            </w:pPr>
          </w:p>
        </w:tc>
        <w:tc>
          <w:tcPr>
            <w:tcW w:w="260" w:type="dxa"/>
            <w:vAlign w:val="bottom"/>
            <w:tcBorders>
              <w:top w:val="single" w:sz="8" w:color="CFF0FC"/>
              <w:bottom w:val="single" w:sz="8" w:color="CFF0FC"/>
            </w:tcBorders>
            <w:gridSpan w:val="11"/>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10.43</w:t>
            </w:r>
          </w:p>
        </w:tc>
        <w:tc>
          <w:tcPr>
            <w:tcW w:w="10300" w:type="dxa"/>
            <w:vAlign w:val="bottom"/>
            <w:gridSpan w:val="32"/>
          </w:tcPr>
          <w:p>
            <w:pPr>
              <w:ind w:left="2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95">
              <w:r>
                <w:rPr>
                  <w:rFonts w:ascii="Arial" w:cs="Arial" w:eastAsia="Arial" w:hAnsi="Arial"/>
                  <w:sz w:val="18"/>
                  <w:szCs w:val="18"/>
                  <w:color w:val="0000EE"/>
                  <w:w w:val="93"/>
                </w:rPr>
                <w:t>Form of Retention Bonus Agreement (Incorporated herein by reference to Exhibit 10.1 to SMLP’s Current Report on Form 8-K dated</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June 11, 2019 (Commission File Number 001-35666))</w:t>
              </w:r>
            </w:hyperlink>
          </w:p>
        </w:tc>
        <w:tc>
          <w:tcPr>
            <w:tcW w:w="140" w:type="dxa"/>
            <w:vAlign w:val="bottom"/>
            <w:gridSpan w:val="6"/>
          </w:tcPr>
          <w:p>
            <w:pPr>
              <w:spacing w:after="0"/>
              <w:rPr>
                <w:sz w:val="17"/>
                <w:szCs w:val="17"/>
                <w:color w:val="auto"/>
              </w:rPr>
            </w:pPr>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10.44</w:t>
            </w:r>
          </w:p>
        </w:tc>
        <w:tc>
          <w:tcPr>
            <w:tcW w:w="10300" w:type="dxa"/>
            <w:vAlign w:val="bottom"/>
            <w:gridSpan w:val="32"/>
            <w:shd w:val="clear" w:color="auto" w:fill="CFF0FC"/>
          </w:tcPr>
          <w:p>
            <w:pPr>
              <w:ind w:left="2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96">
              <w:r>
                <w:rPr>
                  <w:rFonts w:ascii="Arial" w:cs="Arial" w:eastAsia="Arial" w:hAnsi="Arial"/>
                  <w:sz w:val="18"/>
                  <w:szCs w:val="18"/>
                  <w:color w:val="0000EE"/>
                  <w:w w:val="98"/>
                </w:rPr>
                <w:t>Employment Agreement effective September 16, 2019, by and between Summit Midstream Partners, LLC and Heath Deneke</w:t>
              </w:r>
            </w:hyperlink>
          </w:p>
        </w:tc>
      </w:tr>
      <w:tr>
        <w:trPr>
          <w:trHeight w:val="20"/>
        </w:trPr>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60" w:type="dxa"/>
            <w:vAlign w:val="bottom"/>
            <w:gridSpan w:val="8"/>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580" w:type="dxa"/>
            <w:vAlign w:val="bottom"/>
            <w:tcBorders>
              <w:right w:val="single" w:sz="8" w:color="CFF0FC"/>
            </w:tcBorders>
            <w:shd w:val="clear" w:color="auto" w:fill="0000EE"/>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left w:val="single" w:sz="8" w:color="CFF0FC"/>
            </w:tcBorders>
            <w:gridSpan w:val="3"/>
            <w:shd w:val="clear" w:color="auto" w:fill="CFF0FC"/>
          </w:tcPr>
          <w:p>
            <w:pPr>
              <w:spacing w:after="0" w:line="20" w:lineRule="exact"/>
              <w:rPr>
                <w:sz w:val="1"/>
                <w:szCs w:val="1"/>
                <w:color w:val="auto"/>
              </w:rPr>
            </w:pPr>
          </w:p>
        </w:tc>
        <w:tc>
          <w:tcPr>
            <w:tcW w:w="120" w:type="dxa"/>
            <w:vAlign w:val="bottom"/>
            <w:gridSpan w:val="4"/>
            <w:shd w:val="clear" w:color="auto" w:fill="CFF0FC"/>
          </w:tcPr>
          <w:p>
            <w:pPr>
              <w:spacing w:after="0" w:line="20" w:lineRule="exact"/>
              <w:rPr>
                <w:sz w:val="1"/>
                <w:szCs w:val="1"/>
                <w:color w:val="auto"/>
              </w:rPr>
            </w:pPr>
          </w:p>
        </w:tc>
        <w:tc>
          <w:tcPr>
            <w:tcW w:w="160" w:type="dxa"/>
            <w:vAlign w:val="bottom"/>
            <w:gridSpan w:val="8"/>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9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9360" w:type="dxa"/>
            <w:vAlign w:val="bottom"/>
            <w:tcBorders>
              <w:bottom w:val="single" w:sz="8" w:color="0000EE"/>
              <w:right w:val="single" w:sz="8" w:color="CFF0FC"/>
            </w:tcBorders>
            <w:gridSpan w:val="15"/>
            <w:shd w:val="clear" w:color="auto" w:fill="CFF0FC"/>
          </w:tcPr>
          <w:p>
            <w:pPr>
              <w:spacing w:after="0" w:line="196" w:lineRule="exact"/>
              <w:rPr>
                <w:rFonts w:ascii="Arial" w:cs="Arial" w:eastAsia="Arial" w:hAnsi="Arial"/>
                <w:sz w:val="18"/>
                <w:szCs w:val="18"/>
                <w:color w:val="0000EE"/>
                <w:w w:val="91"/>
              </w:rPr>
            </w:pPr>
            <w:hyperlink r:id="rId296">
              <w:r>
                <w:rPr>
                  <w:rFonts w:ascii="Arial" w:cs="Arial" w:eastAsia="Arial" w:hAnsi="Arial"/>
                  <w:sz w:val="18"/>
                  <w:szCs w:val="18"/>
                  <w:color w:val="0000EE"/>
                  <w:w w:val="91"/>
                </w:rPr>
                <w:t>(Incorporated herein by reference to Exhibit 10.1 to SMLP’s Current Report on Form 8-K dated August 9, 2019 (Commission File</w:t>
              </w:r>
            </w:hyperlink>
          </w:p>
        </w:tc>
        <w:tc>
          <w:tcPr>
            <w:tcW w:w="420" w:type="dxa"/>
            <w:vAlign w:val="bottom"/>
            <w:tcBorders>
              <w:left w:val="single" w:sz="8" w:color="CFF0FC"/>
              <w:bottom w:val="single" w:sz="8" w:color="CFF0FC"/>
            </w:tcBorders>
            <w:gridSpan w:val="16"/>
            <w:shd w:val="clear" w:color="auto" w:fill="CFF0FC"/>
          </w:tcPr>
          <w:p>
            <w:pPr>
              <w:spacing w:after="0"/>
              <w:rPr>
                <w:sz w:val="17"/>
                <w:szCs w:val="17"/>
                <w:color w:val="auto"/>
              </w:rPr>
            </w:pPr>
          </w:p>
        </w:tc>
      </w:tr>
      <w:tr>
        <w:trPr>
          <w:trHeight w:val="244"/>
        </w:trPr>
        <w:tc>
          <w:tcPr>
            <w:tcW w:w="9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0000EE"/>
            </w:tcBorders>
            <w:gridSpan w:val="3"/>
            <w:shd w:val="clear" w:color="auto" w:fill="CFF0FC"/>
          </w:tcPr>
          <w:p>
            <w:pPr>
              <w:spacing w:after="0" w:line="196"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Number 001-35666))</w:t>
              </w:r>
            </w:hyperlink>
          </w:p>
        </w:tc>
        <w:tc>
          <w:tcPr>
            <w:tcW w:w="8240" w:type="dxa"/>
            <w:vAlign w:val="bottom"/>
            <w:tcBorders>
              <w:bottom w:val="single" w:sz="8" w:color="CFF0FC"/>
            </w:tcBorders>
            <w:gridSpan w:val="28"/>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10.45</w:t>
            </w:r>
          </w:p>
        </w:tc>
        <w:tc>
          <w:tcPr>
            <w:tcW w:w="10300" w:type="dxa"/>
            <w:vAlign w:val="bottom"/>
            <w:gridSpan w:val="32"/>
          </w:tcPr>
          <w:p>
            <w:pPr>
              <w:ind w:left="2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97">
              <w:r>
                <w:rPr>
                  <w:rFonts w:ascii="Arial" w:cs="Arial" w:eastAsia="Arial" w:hAnsi="Arial"/>
                  <w:sz w:val="18"/>
                  <w:szCs w:val="18"/>
                  <w:color w:val="0000EE"/>
                  <w:w w:val="94"/>
                </w:rPr>
                <w:t>Employment Agreement, effective as of September 4, 2020, by and between Summit Midstream Partners, LP and James Johnston</w:t>
              </w:r>
            </w:hyperlink>
          </w:p>
        </w:tc>
      </w:tr>
      <w:tr>
        <w:trPr>
          <w:trHeight w:val="20"/>
        </w:trPr>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60" w:type="dxa"/>
            <w:vAlign w:val="bottom"/>
            <w:gridSpan w:val="8"/>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80" w:type="dxa"/>
            <w:vAlign w:val="bottom"/>
            <w:gridSpan w:val="31"/>
          </w:tcPr>
          <w:p>
            <w:pPr>
              <w:spacing w:after="0"/>
              <w:rPr>
                <w:rFonts w:ascii="Arial" w:cs="Arial" w:eastAsia="Arial" w:hAnsi="Arial"/>
                <w:sz w:val="18"/>
                <w:szCs w:val="18"/>
                <w:u w:val="single" w:color="auto"/>
                <w:color w:val="0000EE"/>
                <w:w w:val="93"/>
              </w:rPr>
            </w:pPr>
            <w:hyperlink r:id="rId297">
              <w:r>
                <w:rPr>
                  <w:rFonts w:ascii="Arial" w:cs="Arial" w:eastAsia="Arial" w:hAnsi="Arial"/>
                  <w:sz w:val="18"/>
                  <w:szCs w:val="18"/>
                  <w:u w:val="single" w:color="auto"/>
                  <w:color w:val="0000EE"/>
                  <w:w w:val="93"/>
                </w:rPr>
                <w:t>(Incorporated herein by reference to Exhibit 10.4 to SMLP’s Form 10-Q dated November 6, 2020 (Commission File No. 001-35666))</w:t>
              </w:r>
            </w:hyperlink>
          </w:p>
        </w:tc>
      </w:tr>
      <w:tr>
        <w:trPr>
          <w:trHeight w:val="27"/>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10.46</w:t>
            </w:r>
          </w:p>
        </w:tc>
        <w:tc>
          <w:tcPr>
            <w:tcW w:w="10300" w:type="dxa"/>
            <w:vAlign w:val="bottom"/>
            <w:gridSpan w:val="32"/>
            <w:shd w:val="clear" w:color="auto" w:fill="CFF0FC"/>
          </w:tcPr>
          <w:p>
            <w:pPr>
              <w:ind w:left="2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298">
              <w:r>
                <w:rPr>
                  <w:rFonts w:ascii="Arial" w:cs="Arial" w:eastAsia="Arial" w:hAnsi="Arial"/>
                  <w:sz w:val="18"/>
                  <w:szCs w:val="18"/>
                  <w:color w:val="0000EE"/>
                  <w:w w:val="91"/>
                </w:rPr>
                <w:t>Summit Midstream Partners, LP 2012 Long-Term Incentive Plan, as amended and restated (incorporated herein by reference to Exhibit</w:t>
              </w:r>
            </w:hyperlink>
          </w:p>
        </w:tc>
      </w:tr>
      <w:tr>
        <w:trPr>
          <w:trHeight w:val="243"/>
        </w:trPr>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shd w:val="clear" w:color="auto" w:fill="CFF0FC"/>
          </w:tcPr>
          <w:p>
            <w:pPr>
              <w:spacing w:after="0"/>
              <w:rPr>
                <w:sz w:val="21"/>
                <w:szCs w:val="21"/>
                <w:color w:val="auto"/>
              </w:rPr>
            </w:pPr>
          </w:p>
        </w:tc>
        <w:tc>
          <w:tcPr>
            <w:tcW w:w="7480" w:type="dxa"/>
            <w:vAlign w:val="bottom"/>
            <w:tcBorders>
              <w:top w:val="single" w:sz="8" w:color="0000EE"/>
              <w:bottom w:val="single" w:sz="8" w:color="0000EE"/>
            </w:tcBorders>
            <w:gridSpan w:val="12"/>
            <w:shd w:val="clear" w:color="auto" w:fill="CFF0FC"/>
          </w:tcPr>
          <w:p>
            <w:pPr>
              <w:spacing w:after="0" w:line="196" w:lineRule="exact"/>
              <w:rPr>
                <w:rFonts w:ascii="Arial" w:cs="Arial" w:eastAsia="Arial" w:hAnsi="Arial"/>
                <w:sz w:val="18"/>
                <w:szCs w:val="18"/>
                <w:color w:val="0000EE"/>
                <w:w w:val="91"/>
              </w:rPr>
            </w:pPr>
            <w:hyperlink r:id="rId29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SMLP’s Current Report on Form 8-K dated March 20, 2020 (Commission File No. 001-35666))</w:t>
              </w:r>
            </w:hyperlink>
          </w:p>
        </w:tc>
        <w:tc>
          <w:tcPr>
            <w:tcW w:w="2260" w:type="dxa"/>
            <w:vAlign w:val="bottom"/>
            <w:tcBorders>
              <w:top w:val="single" w:sz="8" w:color="0000EE"/>
              <w:bottom w:val="single" w:sz="8" w:color="CFF0FC"/>
            </w:tcBorders>
            <w:gridSpan w:val="18"/>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10.47</w:t>
            </w:r>
          </w:p>
        </w:tc>
        <w:tc>
          <w:tcPr>
            <w:tcW w:w="10300" w:type="dxa"/>
            <w:vAlign w:val="bottom"/>
            <w:gridSpan w:val="32"/>
          </w:tcPr>
          <w:p>
            <w:pPr>
              <w:ind w:left="2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99">
              <w:r>
                <w:rPr>
                  <w:rFonts w:ascii="Arial" w:cs="Arial" w:eastAsia="Arial" w:hAnsi="Arial"/>
                  <w:sz w:val="18"/>
                  <w:szCs w:val="18"/>
                  <w:color w:val="0000EE"/>
                  <w:w w:val="94"/>
                </w:rPr>
                <w:t>Award Agreement by and between Summit Midstream GP, LLC, Summit Midstream Partners, LP and Leonard Mallett (Incorporated</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8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299">
              <w:r>
                <w:rPr>
                  <w:rFonts w:ascii="Arial" w:cs="Arial" w:eastAsia="Arial" w:hAnsi="Arial"/>
                  <w:sz w:val="18"/>
                  <w:szCs w:val="18"/>
                  <w:color w:val="0000EE"/>
                  <w:w w:val="94"/>
                </w:rPr>
                <w:t>herein by reference to Exhibit 10.2 to SMLP's Current Report on Form 8-K filed November 17, 2015 (Commission File No. 001-</w:t>
              </w:r>
            </w:hyperlink>
          </w:p>
        </w:tc>
        <w:tc>
          <w:tcPr>
            <w:tcW w:w="200" w:type="dxa"/>
            <w:vAlign w:val="bottom"/>
            <w:gridSpan w:val="9"/>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35666)</w:t>
              </w:r>
              <w:r>
                <w:rPr>
                  <w:rFonts w:ascii="Arial" w:cs="Arial" w:eastAsia="Arial" w:hAnsi="Arial"/>
                  <w:sz w:val="18"/>
                  <w:szCs w:val="18"/>
                  <w:u w:val="single" w:color="auto"/>
                  <w:color w:val="0000EE"/>
                </w:rPr>
                <w:t>)</w:t>
              </w:r>
            </w:hyperlink>
          </w:p>
        </w:tc>
        <w:tc>
          <w:tcPr>
            <w:tcW w:w="3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10.48</w:t>
            </w:r>
          </w:p>
        </w:tc>
        <w:tc>
          <w:tcPr>
            <w:tcW w:w="10300" w:type="dxa"/>
            <w:vAlign w:val="bottom"/>
            <w:gridSpan w:val="32"/>
            <w:shd w:val="clear" w:color="auto" w:fill="CFF0FC"/>
          </w:tcPr>
          <w:p>
            <w:pPr>
              <w:ind w:left="2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00">
              <w:r>
                <w:rPr>
                  <w:rFonts w:ascii="Arial" w:cs="Arial" w:eastAsia="Arial" w:hAnsi="Arial"/>
                  <w:sz w:val="18"/>
                  <w:szCs w:val="18"/>
                  <w:color w:val="0000EE"/>
                  <w:w w:val="97"/>
                </w:rPr>
                <w:t>Summit Midstream Partners, LP 2012 Long-Term Incentive Plan Phantom Unit Agreement (Incorporated herein by reference to</w:t>
              </w:r>
            </w:hyperlink>
          </w:p>
        </w:tc>
      </w:tr>
      <w:tr>
        <w:trPr>
          <w:trHeight w:val="243"/>
        </w:trPr>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shd w:val="clear" w:color="auto" w:fill="CFF0FC"/>
          </w:tcPr>
          <w:p>
            <w:pPr>
              <w:spacing w:after="0"/>
              <w:rPr>
                <w:sz w:val="21"/>
                <w:szCs w:val="21"/>
                <w:color w:val="auto"/>
              </w:rPr>
            </w:pPr>
          </w:p>
        </w:tc>
        <w:tc>
          <w:tcPr>
            <w:tcW w:w="9220" w:type="dxa"/>
            <w:vAlign w:val="bottom"/>
            <w:tcBorders>
              <w:top w:val="single" w:sz="8" w:color="0000EE"/>
              <w:bottom w:val="single" w:sz="8" w:color="CFF0FC"/>
            </w:tcBorders>
            <w:gridSpan w:val="14"/>
            <w:shd w:val="clear" w:color="auto" w:fill="CFF0FC"/>
          </w:tcPr>
          <w:p>
            <w:pPr>
              <w:spacing w:after="0"/>
              <w:rPr>
                <w:rFonts w:ascii="Arial" w:cs="Arial" w:eastAsia="Arial" w:hAnsi="Arial"/>
                <w:sz w:val="18"/>
                <w:szCs w:val="18"/>
                <w:u w:val="single" w:color="auto"/>
                <w:color w:val="0000EE"/>
              </w:rPr>
            </w:pPr>
            <w:hyperlink r:id="rId300">
              <w:r>
                <w:rPr>
                  <w:rFonts w:ascii="Arial" w:cs="Arial" w:eastAsia="Arial" w:hAnsi="Arial"/>
                  <w:sz w:val="18"/>
                  <w:szCs w:val="18"/>
                  <w:u w:val="single" w:color="auto"/>
                  <w:color w:val="0000EE"/>
                </w:rPr>
                <w:t>Exhibit 10.1 to SMLP's Current Report on Form 8-K filed March 17, 2014 (Commission File No. 001-35666))</w:t>
              </w:r>
            </w:hyperlink>
          </w:p>
        </w:tc>
        <w:tc>
          <w:tcPr>
            <w:tcW w:w="560" w:type="dxa"/>
            <w:vAlign w:val="bottom"/>
            <w:tcBorders>
              <w:top w:val="single" w:sz="8" w:color="CFF0FC"/>
              <w:bottom w:val="single" w:sz="8" w:color="CFF0FC"/>
            </w:tcBorders>
            <w:gridSpan w:val="17"/>
            <w:shd w:val="clear" w:color="auto" w:fill="CFF0FC"/>
          </w:tcPr>
          <w:p>
            <w:pPr>
              <w:spacing w:after="0"/>
              <w:rPr>
                <w:sz w:val="21"/>
                <w:szCs w:val="21"/>
                <w:color w:val="auto"/>
              </w:rPr>
            </w:pPr>
          </w:p>
        </w:tc>
      </w:tr>
      <w:tr>
        <w:trPr>
          <w:trHeight w:val="2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10.49</w:t>
            </w:r>
          </w:p>
        </w:tc>
        <w:tc>
          <w:tcPr>
            <w:tcW w:w="10300" w:type="dxa"/>
            <w:vAlign w:val="bottom"/>
            <w:gridSpan w:val="32"/>
          </w:tcPr>
          <w:p>
            <w:pPr>
              <w:ind w:left="2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01">
              <w:r>
                <w:rPr>
                  <w:rFonts w:ascii="Arial" w:cs="Arial" w:eastAsia="Arial" w:hAnsi="Arial"/>
                  <w:sz w:val="18"/>
                  <w:szCs w:val="18"/>
                  <w:color w:val="0000EE"/>
                  <w:w w:val="96"/>
                </w:rPr>
                <w:t>Form of Director Unit Award Agreement (Incorporated herein by reference to Exhibit 10.3 to SMLP's Current Report on Form 8-K</w:t>
              </w:r>
            </w:hyperlink>
          </w:p>
        </w:tc>
      </w:tr>
      <w:tr>
        <w:trPr>
          <w:trHeight w:val="196"/>
        </w:trPr>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filed October 4, 2012 (Commission File No. 001-35666))</w:t>
              </w:r>
            </w:hyperlink>
          </w:p>
        </w:tc>
        <w:tc>
          <w:tcPr>
            <w:tcW w:w="320" w:type="dxa"/>
            <w:vAlign w:val="bottom"/>
            <w:gridSpan w:val="13"/>
          </w:tcPr>
          <w:p>
            <w:pPr>
              <w:spacing w:after="0"/>
              <w:rPr>
                <w:sz w:val="17"/>
                <w:szCs w:val="17"/>
                <w:color w:val="auto"/>
              </w:rPr>
            </w:pPr>
          </w:p>
        </w:tc>
      </w:tr>
      <w:tr>
        <w:trPr>
          <w:trHeight w:val="48"/>
        </w:trPr>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16"/>
        </w:trPr>
        <w:tc>
          <w:tcPr>
            <w:tcW w:w="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10.50</w:t>
            </w:r>
          </w:p>
        </w:tc>
        <w:tc>
          <w:tcPr>
            <w:tcW w:w="10300" w:type="dxa"/>
            <w:vAlign w:val="bottom"/>
            <w:gridSpan w:val="32"/>
            <w:shd w:val="clear" w:color="auto" w:fill="CFF0FC"/>
          </w:tcPr>
          <w:p>
            <w:pPr>
              <w:ind w:left="2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02">
              <w:r>
                <w:rPr>
                  <w:rFonts w:ascii="Arial" w:cs="Arial" w:eastAsia="Arial" w:hAnsi="Arial"/>
                  <w:sz w:val="18"/>
                  <w:szCs w:val="18"/>
                  <w:color w:val="0000EE"/>
                  <w:w w:val="97"/>
                </w:rPr>
                <w:t>Summit Midstream Partners, LLC Deferred Compensation Plan effective as of July 1, 2013 (Incorporated herein by reference to</w:t>
              </w:r>
            </w:hyperlink>
          </w:p>
        </w:tc>
      </w:tr>
      <w:tr>
        <w:trPr>
          <w:trHeight w:val="244"/>
        </w:trPr>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shd w:val="clear" w:color="auto" w:fill="CFF0FC"/>
          </w:tcPr>
          <w:p>
            <w:pPr>
              <w:spacing w:after="0"/>
              <w:rPr>
                <w:sz w:val="21"/>
                <w:szCs w:val="21"/>
                <w:color w:val="auto"/>
              </w:rPr>
            </w:pPr>
          </w:p>
        </w:tc>
        <w:tc>
          <w:tcPr>
            <w:tcW w:w="9360" w:type="dxa"/>
            <w:vAlign w:val="bottom"/>
            <w:tcBorders>
              <w:top w:val="single" w:sz="8" w:color="0000EE"/>
              <w:bottom w:val="single" w:sz="8" w:color="CFF0FC"/>
              <w:right w:val="single" w:sz="8" w:color="CFF0FC"/>
            </w:tcBorders>
            <w:gridSpan w:val="15"/>
            <w:shd w:val="clear" w:color="auto" w:fill="CFF0FC"/>
          </w:tcPr>
          <w:p>
            <w:pPr>
              <w:spacing w:after="0"/>
              <w:rPr>
                <w:rFonts w:ascii="Arial" w:cs="Arial" w:eastAsia="Arial" w:hAnsi="Arial"/>
                <w:sz w:val="18"/>
                <w:szCs w:val="18"/>
                <w:u w:val="single" w:color="auto"/>
                <w:color w:val="0000EE"/>
              </w:rPr>
            </w:pPr>
            <w:hyperlink r:id="rId302">
              <w:r>
                <w:rPr>
                  <w:rFonts w:ascii="Arial" w:cs="Arial" w:eastAsia="Arial" w:hAnsi="Arial"/>
                  <w:sz w:val="18"/>
                  <w:szCs w:val="18"/>
                  <w:u w:val="single" w:color="auto"/>
                  <w:color w:val="0000EE"/>
                </w:rPr>
                <w:t>Exhibit 4.3 to SMLP's Form S-8 Registration Statement dated June 28, 2013 (Commission File No. 333-189684))</w:t>
              </w:r>
            </w:hyperlink>
          </w:p>
        </w:tc>
        <w:tc>
          <w:tcPr>
            <w:tcW w:w="420" w:type="dxa"/>
            <w:vAlign w:val="bottom"/>
            <w:tcBorders>
              <w:top w:val="single" w:sz="8" w:color="CFF0FC"/>
              <w:left w:val="single" w:sz="8" w:color="CFF0FC"/>
              <w:bottom w:val="single" w:sz="8" w:color="CFF0FC"/>
            </w:tcBorders>
            <w:gridSpan w:val="16"/>
            <w:shd w:val="clear" w:color="auto" w:fill="CFF0FC"/>
          </w:tcPr>
          <w:p>
            <w:pPr>
              <w:spacing w:after="0"/>
              <w:rPr>
                <w:sz w:val="21"/>
                <w:szCs w:val="21"/>
                <w:color w:val="auto"/>
              </w:rPr>
            </w:pPr>
          </w:p>
        </w:tc>
      </w:tr>
      <w:tr>
        <w:trPr>
          <w:trHeight w:val="432"/>
        </w:trPr>
        <w:tc>
          <w:tcPr>
            <w:tcW w:w="940" w:type="dxa"/>
            <w:vAlign w:val="bottom"/>
          </w:tcPr>
          <w:p>
            <w:pPr>
              <w:spacing w:after="0"/>
              <w:rPr>
                <w:sz w:val="24"/>
                <w:szCs w:val="24"/>
                <w:color w:val="auto"/>
              </w:rPr>
            </w:pPr>
          </w:p>
        </w:tc>
        <w:tc>
          <w:tcPr>
            <w:tcW w:w="5000" w:type="dxa"/>
            <w:vAlign w:val="bottom"/>
            <w:gridSpan w:val="11"/>
          </w:tcPr>
          <w:p>
            <w:pPr>
              <w:ind w:left="4540"/>
              <w:spacing w:after="0"/>
              <w:rPr>
                <w:sz w:val="20"/>
                <w:szCs w:val="20"/>
                <w:color w:val="auto"/>
              </w:rPr>
            </w:pPr>
            <w:r>
              <w:rPr>
                <w:rFonts w:ascii="Arial" w:cs="Arial" w:eastAsia="Arial" w:hAnsi="Arial"/>
                <w:sz w:val="18"/>
                <w:szCs w:val="18"/>
                <w:color w:val="auto"/>
              </w:rPr>
              <w:t>165</w:t>
            </w: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460" w:type="dxa"/>
            <w:vAlign w:val="bottom"/>
          </w:tcPr>
          <w:p>
            <w:pPr>
              <w:spacing w:after="0"/>
              <w:rPr>
                <w:sz w:val="17"/>
                <w:szCs w:val="17"/>
                <w:color w:val="auto"/>
              </w:rPr>
            </w:pPr>
          </w:p>
        </w:tc>
        <w:tc>
          <w:tcPr>
            <w:tcW w:w="9520" w:type="dxa"/>
            <w:vAlign w:val="bottom"/>
            <w:tcBorders>
              <w:bottom w:val="single" w:sz="8" w:color="0000EE"/>
            </w:tcBorders>
            <w:gridSpan w:val="8"/>
          </w:tcPr>
          <w:p>
            <w:pPr>
              <w:spacing w:after="0"/>
              <w:rPr>
                <w:rFonts w:ascii="Arial" w:cs="Arial" w:eastAsia="Arial" w:hAnsi="Arial"/>
                <w:sz w:val="18"/>
                <w:szCs w:val="18"/>
                <w:color w:val="0000EE"/>
                <w:w w:val="92"/>
              </w:rPr>
            </w:pPr>
            <w:hyperlink r:id="rId305">
              <w:r>
                <w:rPr>
                  <w:rFonts w:ascii="Arial" w:cs="Arial" w:eastAsia="Arial" w:hAnsi="Arial"/>
                  <w:sz w:val="18"/>
                  <w:szCs w:val="18"/>
                  <w:color w:val="0000EE"/>
                  <w:w w:val="92"/>
                </w:rPr>
                <w:t>List of Subsidiaries (Incorporated herein by reference to Exhibit 21.1 to SMLP’s Form 8-K filed August 10, 2020 (Commission File</w:t>
              </w:r>
            </w:hyperlink>
          </w:p>
        </w:tc>
        <w:tc>
          <w:tcPr>
            <w:tcW w:w="2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rPr>
            </w:pPr>
            <w:hyperlink r:id="rId305">
              <w:r>
                <w:rPr>
                  <w:rFonts w:ascii="Arial" w:cs="Arial" w:eastAsia="Arial" w:hAnsi="Arial"/>
                  <w:sz w:val="18"/>
                  <w:szCs w:val="18"/>
                  <w:color w:val="0000EE"/>
                </w:rPr>
                <w:t>No. 001-35666))</w:t>
              </w:r>
            </w:hyperlink>
          </w:p>
        </w:tc>
      </w:tr>
      <w:tr>
        <w:trPr>
          <w:trHeight w:val="48"/>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8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22.1</w:t>
            </w:r>
          </w:p>
        </w:tc>
        <w:tc>
          <w:tcPr>
            <w:tcW w:w="460" w:type="dxa"/>
            <w:vAlign w:val="bottom"/>
            <w:shd w:val="clear" w:color="auto" w:fill="CFF0FC"/>
          </w:tcPr>
          <w:p>
            <w:pPr>
              <w:spacing w:after="0"/>
              <w:rPr>
                <w:sz w:val="18"/>
                <w:szCs w:val="18"/>
                <w:color w:val="auto"/>
              </w:rPr>
            </w:pPr>
          </w:p>
        </w:tc>
        <w:tc>
          <w:tcPr>
            <w:tcW w:w="9780" w:type="dxa"/>
            <w:vAlign w:val="bottom"/>
            <w:gridSpan w:val="11"/>
            <w:shd w:val="clear" w:color="auto" w:fill="CFF0FC"/>
          </w:tcPr>
          <w:p>
            <w:pPr>
              <w:spacing w:after="0"/>
              <w:rPr>
                <w:rFonts w:ascii="Arial" w:cs="Arial" w:eastAsia="Arial" w:hAnsi="Arial"/>
                <w:sz w:val="18"/>
                <w:szCs w:val="18"/>
                <w:color w:val="0000EE"/>
                <w:w w:val="95"/>
              </w:rPr>
            </w:pPr>
            <w:hyperlink r:id="rId306">
              <w:r>
                <w:rPr>
                  <w:rFonts w:ascii="Arial" w:cs="Arial" w:eastAsia="Arial" w:hAnsi="Arial"/>
                  <w:sz w:val="18"/>
                  <w:szCs w:val="18"/>
                  <w:color w:val="0000EE"/>
                  <w:w w:val="95"/>
                </w:rPr>
                <w:t>Summit Midstream Partners, LP Subsidiary Issuers and Guarantors of Registered Securities (Incorporated herein by reference to</w:t>
              </w:r>
            </w:hyperlink>
          </w:p>
        </w:tc>
      </w:tr>
      <w:tr>
        <w:trPr>
          <w:trHeight w:val="196"/>
        </w:trPr>
        <w:tc>
          <w:tcPr>
            <w:tcW w:w="10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9240" w:type="dxa"/>
            <w:vAlign w:val="bottom"/>
            <w:tcBorders>
              <w:top w:val="single" w:sz="8" w:color="0000EE"/>
            </w:tcBorders>
            <w:gridSpan w:val="6"/>
            <w:shd w:val="clear" w:color="auto" w:fill="CFF0FC"/>
          </w:tcPr>
          <w:p>
            <w:pPr>
              <w:spacing w:after="0" w:line="196" w:lineRule="exact"/>
              <w:rPr>
                <w:rFonts w:ascii="Arial" w:cs="Arial" w:eastAsia="Arial" w:hAnsi="Arial"/>
                <w:sz w:val="18"/>
                <w:szCs w:val="18"/>
                <w:color w:val="0000EE"/>
              </w:rPr>
            </w:pPr>
            <w:hyperlink r:id="rId306">
              <w:r>
                <w:rPr>
                  <w:rFonts w:ascii="Arial" w:cs="Arial" w:eastAsia="Arial" w:hAnsi="Arial"/>
                  <w:sz w:val="18"/>
                  <w:szCs w:val="18"/>
                  <w:color w:val="0000EE"/>
                </w:rPr>
                <w:t>Exhibit 22.1 to SMLP's Report on Form 10-Q filed May 8, 2020 (Commission File No. 001-35666)</w:t>
              </w:r>
              <w:r>
                <w:rPr>
                  <w:rFonts w:ascii="Arial" w:cs="Arial" w:eastAsia="Arial" w:hAnsi="Arial"/>
                  <w:sz w:val="18"/>
                  <w:szCs w:val="18"/>
                  <w:color w:val="0000FF"/>
                </w:rPr>
                <w:t>).</w:t>
              </w:r>
            </w:hyperlink>
          </w:p>
        </w:tc>
        <w:tc>
          <w:tcPr>
            <w:tcW w:w="540" w:type="dxa"/>
            <w:vAlign w:val="bottom"/>
            <w:tcBorders>
              <w:top w:val="single" w:sz="8" w:color="CFF0FC"/>
            </w:tcBorders>
            <w:gridSpan w:val="5"/>
            <w:shd w:val="clear" w:color="auto" w:fill="CFF0FC"/>
          </w:tcPr>
          <w:p>
            <w:pPr>
              <w:spacing w:after="0"/>
              <w:rPr>
                <w:sz w:val="17"/>
                <w:szCs w:val="17"/>
                <w:color w:val="auto"/>
              </w:rPr>
            </w:pPr>
          </w:p>
        </w:tc>
      </w:tr>
      <w:tr>
        <w:trPr>
          <w:trHeight w:val="48"/>
        </w:trPr>
        <w:tc>
          <w:tcPr>
            <w:tcW w:w="10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08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1480" w:type="dxa"/>
            <w:vAlign w:val="bottom"/>
            <w:tcBorders>
              <w:top w:val="single" w:sz="8" w:color="0000EE"/>
            </w:tcBorders>
            <w:shd w:val="clear" w:color="auto" w:fill="CFF0FC"/>
          </w:tcPr>
          <w:p>
            <w:pPr>
              <w:spacing w:after="0"/>
              <w:rPr>
                <w:sz w:val="4"/>
                <w:szCs w:val="4"/>
                <w:color w:val="auto"/>
              </w:rPr>
            </w:pPr>
          </w:p>
        </w:tc>
        <w:tc>
          <w:tcPr>
            <w:tcW w:w="4480" w:type="dxa"/>
            <w:vAlign w:val="bottom"/>
            <w:tcBorders>
              <w:top w:val="single" w:sz="8" w:color="0000EE"/>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9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r>
      <w:tr>
        <w:trPr>
          <w:trHeight w:val="257"/>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240" w:type="dxa"/>
            <w:vAlign w:val="bottom"/>
            <w:gridSpan w:val="1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1">
              <w:r>
                <w:rPr>
                  <w:rFonts w:ascii="Arial" w:cs="Arial" w:eastAsia="Arial" w:hAnsi="Arial"/>
                  <w:sz w:val="18"/>
                  <w:szCs w:val="18"/>
                  <w:u w:val="single" w:color="auto"/>
                  <w:color w:val="0000EE"/>
                </w:rPr>
                <w:t>Consent of Deloitte &amp; Touche LLP - Summit Midstream Partners, LP</w:t>
              </w:r>
            </w:hyperlink>
          </w:p>
        </w:tc>
      </w:tr>
      <w:tr>
        <w:trPr>
          <w:trHeight w:val="27"/>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23.2</w:t>
            </w:r>
          </w:p>
        </w:tc>
        <w:tc>
          <w:tcPr>
            <w:tcW w:w="10240" w:type="dxa"/>
            <w:vAlign w:val="bottom"/>
            <w:tcBorders>
              <w:bottom w:val="single" w:sz="8" w:color="CFF0FC"/>
            </w:tcBorders>
            <w:gridSpan w:val="12"/>
            <w:shd w:val="clear" w:color="auto" w:fill="CFF0FC"/>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2">
              <w:r>
                <w:rPr>
                  <w:rFonts w:ascii="Arial" w:cs="Arial" w:eastAsia="Arial" w:hAnsi="Arial"/>
                  <w:sz w:val="18"/>
                  <w:szCs w:val="18"/>
                  <w:u w:val="single" w:color="auto"/>
                  <w:color w:val="0000EE"/>
                </w:rPr>
                <w:t>Consent of PricewaterhouseCoopers LLP - Ohio Gathering Company, L.L.C.</w:t>
              </w:r>
            </w:hyperlink>
          </w:p>
        </w:tc>
      </w:tr>
      <w:tr>
        <w:trPr>
          <w:trHeight w:val="257"/>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40" w:type="dxa"/>
            <w:vAlign w:val="bottom"/>
            <w:gridSpan w:val="1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3">
              <w:r>
                <w:rPr>
                  <w:rFonts w:ascii="Arial" w:cs="Arial" w:eastAsia="Arial" w:hAnsi="Arial"/>
                  <w:sz w:val="18"/>
                  <w:szCs w:val="18"/>
                  <w:u w:val="single" w:color="auto"/>
                  <w:color w:val="0000EE"/>
                </w:rPr>
                <w:t>Rule 13a-14(a)/15d-14(a) Certification, executed by Heath Deneke, President, Chief Executive Officer and Director</w:t>
              </w:r>
            </w:hyperlink>
          </w:p>
        </w:tc>
      </w:tr>
      <w:tr>
        <w:trPr>
          <w:trHeight w:val="27"/>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31.2</w:t>
            </w:r>
          </w:p>
        </w:tc>
        <w:tc>
          <w:tcPr>
            <w:tcW w:w="10240" w:type="dxa"/>
            <w:vAlign w:val="bottom"/>
            <w:tcBorders>
              <w:bottom w:val="single" w:sz="8" w:color="CFF0FC"/>
            </w:tcBorders>
            <w:gridSpan w:val="12"/>
            <w:shd w:val="clear" w:color="auto" w:fill="CFF0FC"/>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4">
              <w:r>
                <w:rPr>
                  <w:rFonts w:ascii="Arial" w:cs="Arial" w:eastAsia="Arial" w:hAnsi="Arial"/>
                  <w:sz w:val="18"/>
                  <w:szCs w:val="18"/>
                  <w:u w:val="single" w:color="auto"/>
                  <w:color w:val="0000EE"/>
                </w:rPr>
                <w:t>Rule 13a-14(a)/15d-14(a) Certification, executed by Marc D. Stratton, Executive Vice President and Chief Financial Officer</w:t>
              </w:r>
            </w:hyperlink>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40" w:type="dxa"/>
            <w:vAlign w:val="bottom"/>
            <w:gridSpan w:val="12"/>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215">
              <w:r>
                <w:rPr>
                  <w:rFonts w:ascii="Arial" w:cs="Arial" w:eastAsia="Arial" w:hAnsi="Arial"/>
                  <w:sz w:val="18"/>
                  <w:szCs w:val="18"/>
                  <w:color w:val="0000EE"/>
                  <w:w w:val="93"/>
                </w:rPr>
                <w:t>Certifications required by Rule 13a-14(b) or Rule 15d-14(b) and Section 1350 of Chapter 63 of Title 18 of the United States Code (18</w:t>
              </w:r>
            </w:hyperlink>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215">
              <w:r>
                <w:rPr>
                  <w:rFonts w:ascii="Arial" w:cs="Arial" w:eastAsia="Arial" w:hAnsi="Arial"/>
                  <w:sz w:val="18"/>
                  <w:szCs w:val="18"/>
                  <w:color w:val="0000EE"/>
                  <w:w w:val="94"/>
                </w:rPr>
                <w:t>U.S.C. 1350), executed by Heath Deneke, President, Chief Executive Officer and Director, and Marc D. Stratton, Executive Vice</w:t>
              </w:r>
            </w:hyperlink>
          </w:p>
        </w:tc>
        <w:tc>
          <w:tcPr>
            <w:tcW w:w="1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President and Chief Financial Officer</w:t>
              </w:r>
            </w:hyperlink>
          </w:p>
        </w:tc>
        <w:tc>
          <w:tcPr>
            <w:tcW w:w="500" w:type="dxa"/>
            <w:vAlign w:val="bottom"/>
            <w:gridSpan w:val="4"/>
          </w:tcPr>
          <w:p>
            <w:pPr>
              <w:spacing w:after="0"/>
              <w:rPr>
                <w:sz w:val="17"/>
                <w:szCs w:val="17"/>
                <w:color w:val="auto"/>
              </w:rPr>
            </w:pPr>
          </w:p>
        </w:tc>
      </w:tr>
      <w:tr>
        <w:trPr>
          <w:trHeight w:val="48"/>
        </w:trPr>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80" w:type="dxa"/>
            <w:vAlign w:val="bottom"/>
            <w:tcBorders>
              <w:top w:val="single" w:sz="8" w:color="0000EE"/>
            </w:tcBorders>
          </w:tcPr>
          <w:p>
            <w:pPr>
              <w:spacing w:after="0"/>
              <w:rPr>
                <w:sz w:val="4"/>
                <w:szCs w:val="4"/>
                <w:color w:val="auto"/>
              </w:rPr>
            </w:pPr>
          </w:p>
        </w:tc>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99.1</w:t>
            </w:r>
          </w:p>
        </w:tc>
        <w:tc>
          <w:tcPr>
            <w:tcW w:w="10240" w:type="dxa"/>
            <w:vAlign w:val="bottom"/>
            <w:gridSpan w:val="12"/>
            <w:shd w:val="clear" w:color="auto" w:fill="CFF0FC"/>
          </w:tcPr>
          <w:p>
            <w:pPr>
              <w:ind w:left="140"/>
              <w:spacing w:after="0"/>
              <w:rPr>
                <w:rFonts w:ascii="Arial" w:cs="Arial" w:eastAsia="Arial" w:hAnsi="Arial"/>
                <w:sz w:val="18"/>
                <w:szCs w:val="18"/>
                <w:color w:val="auto"/>
                <w:w w:val="90"/>
              </w:rPr>
            </w:pPr>
            <w:r>
              <w:rPr>
                <w:rFonts w:ascii="Arial" w:cs="Arial" w:eastAsia="Arial" w:hAnsi="Arial"/>
                <w:sz w:val="18"/>
                <w:szCs w:val="18"/>
                <w:color w:val="auto"/>
                <w:w w:val="90"/>
              </w:rPr>
              <w:t xml:space="preserve">*** </w:t>
            </w:r>
            <w:hyperlink w:anchor="page216">
              <w:r>
                <w:rPr>
                  <w:rFonts w:ascii="Arial" w:cs="Arial" w:eastAsia="Arial" w:hAnsi="Arial"/>
                  <w:sz w:val="18"/>
                  <w:szCs w:val="18"/>
                  <w:color w:val="0000EE"/>
                  <w:w w:val="90"/>
                </w:rPr>
                <w:t>Ohio Gathering Company, L.L.C. Financial Statements as of December 31, 2019 and 2018 and for the years ended December 31, 2019,</w:t>
              </w:r>
            </w:hyperlink>
          </w:p>
        </w:tc>
      </w:tr>
      <w:tr>
        <w:trPr>
          <w:trHeight w:val="244"/>
        </w:trPr>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0000EE"/>
              <w:bottom w:val="single" w:sz="8" w:color="0000EE"/>
            </w:tcBorders>
            <w:shd w:val="clear" w:color="auto" w:fill="CFF0FC"/>
          </w:tcPr>
          <w:p>
            <w:pPr>
              <w:spacing w:after="0" w:line="196"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2018 and 2017</w:t>
              </w:r>
            </w:hyperlink>
          </w:p>
        </w:tc>
        <w:tc>
          <w:tcPr>
            <w:tcW w:w="8680" w:type="dxa"/>
            <w:vAlign w:val="bottom"/>
            <w:tcBorders>
              <w:top w:val="single" w:sz="8" w:color="0000EE"/>
              <w:bottom w:val="single" w:sz="8" w:color="CFF0FC"/>
            </w:tcBorders>
            <w:gridSpan w:val="9"/>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42"/>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240" w:type="dxa"/>
            <w:vAlign w:val="bottom"/>
            <w:gridSpan w:val="12"/>
          </w:tcPr>
          <w:p>
            <w:pPr>
              <w:ind w:left="180"/>
              <w:spacing w:after="0"/>
              <w:rPr>
                <w:sz w:val="20"/>
                <w:szCs w:val="20"/>
                <w:color w:val="auto"/>
              </w:rPr>
            </w:pPr>
            <w:r>
              <w:rPr>
                <w:rFonts w:ascii="Arial" w:cs="Arial" w:eastAsia="Arial" w:hAnsi="Arial"/>
                <w:sz w:val="18"/>
                <w:szCs w:val="18"/>
                <w:color w:val="auto"/>
                <w:w w:val="92"/>
              </w:rPr>
              <w:t>** XBRL Instance Document – 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r>
      <w:tr>
        <w:trPr>
          <w:trHeight w:val="27"/>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3"/>
              </w:rPr>
              <w:t>101.SCH</w:t>
            </w:r>
          </w:p>
        </w:tc>
        <w:tc>
          <w:tcPr>
            <w:tcW w:w="10240" w:type="dxa"/>
            <w:vAlign w:val="bottom"/>
            <w:tcBorders>
              <w:bottom w:val="single" w:sz="8" w:color="CFF0FC"/>
            </w:tcBorders>
            <w:gridSpan w:val="12"/>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Schema</w:t>
            </w:r>
          </w:p>
        </w:tc>
      </w:tr>
      <w:tr>
        <w:trPr>
          <w:trHeight w:val="257"/>
        </w:trPr>
        <w:tc>
          <w:tcPr>
            <w:tcW w:w="10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240" w:type="dxa"/>
            <w:vAlign w:val="bottom"/>
            <w:gridSpan w:val="12"/>
          </w:tcPr>
          <w:p>
            <w:pPr>
              <w:ind w:left="180"/>
              <w:spacing w:after="0"/>
              <w:rPr>
                <w:sz w:val="20"/>
                <w:szCs w:val="20"/>
                <w:color w:val="auto"/>
              </w:rPr>
            </w:pPr>
            <w:r>
              <w:rPr>
                <w:rFonts w:ascii="Arial" w:cs="Arial" w:eastAsia="Arial" w:hAnsi="Arial"/>
                <w:sz w:val="18"/>
                <w:szCs w:val="18"/>
                <w:color w:val="auto"/>
              </w:rPr>
              <w:t>** Inline XBRL Taxonomy Extension Calculation Linkbase</w:t>
            </w:r>
          </w:p>
        </w:tc>
      </w:tr>
      <w:tr>
        <w:trPr>
          <w:trHeight w:val="27"/>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101.DEF</w:t>
            </w:r>
          </w:p>
        </w:tc>
        <w:tc>
          <w:tcPr>
            <w:tcW w:w="10240" w:type="dxa"/>
            <w:vAlign w:val="bottom"/>
            <w:tcBorders>
              <w:bottom w:val="single" w:sz="8" w:color="CFF0FC"/>
            </w:tcBorders>
            <w:gridSpan w:val="12"/>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Definition Linkbase</w:t>
            </w:r>
          </w:p>
        </w:tc>
      </w:tr>
      <w:tr>
        <w:trPr>
          <w:trHeight w:val="257"/>
        </w:trPr>
        <w:tc>
          <w:tcPr>
            <w:tcW w:w="10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240" w:type="dxa"/>
            <w:vAlign w:val="bottom"/>
            <w:gridSpan w:val="12"/>
          </w:tcPr>
          <w:p>
            <w:pPr>
              <w:ind w:left="180"/>
              <w:spacing w:after="0"/>
              <w:rPr>
                <w:sz w:val="20"/>
                <w:szCs w:val="20"/>
                <w:color w:val="auto"/>
              </w:rPr>
            </w:pPr>
            <w:r>
              <w:rPr>
                <w:rFonts w:ascii="Arial" w:cs="Arial" w:eastAsia="Arial" w:hAnsi="Arial"/>
                <w:sz w:val="18"/>
                <w:szCs w:val="18"/>
                <w:color w:val="auto"/>
              </w:rPr>
              <w:t>** Inline XBRL Taxonomy Extension Label Linkbase</w:t>
            </w:r>
          </w:p>
        </w:tc>
      </w:tr>
      <w:tr>
        <w:trPr>
          <w:trHeight w:val="27"/>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101.PRE</w:t>
            </w:r>
          </w:p>
        </w:tc>
        <w:tc>
          <w:tcPr>
            <w:tcW w:w="10240" w:type="dxa"/>
            <w:vAlign w:val="bottom"/>
            <w:gridSpan w:val="12"/>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Presentation Linkbase</w:t>
            </w:r>
          </w:p>
        </w:tc>
      </w:tr>
      <w:tr>
        <w:trPr>
          <w:trHeight w:val="27"/>
        </w:trPr>
        <w:tc>
          <w:tcPr>
            <w:tcW w:w="10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4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bl>
    <w:p>
      <w:pPr>
        <w:spacing w:after="0" w:line="26" w:lineRule="exact"/>
        <w:rPr>
          <w:sz w:val="20"/>
          <w:szCs w:val="20"/>
          <w:color w:val="auto"/>
        </w:rPr>
      </w:pPr>
    </w:p>
    <w:p>
      <w:pPr>
        <w:ind w:left="1460" w:hanging="1054"/>
        <w:spacing w:after="0"/>
        <w:tabs>
          <w:tab w:leader="none" w:pos="14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 required to be filed as an exhibit pursuant to Item 15(b)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Certain portions have been omitted pursuant to a confidential treatment request. Omitted information has been filed separately with the SEC.</w:t>
      </w:r>
    </w:p>
    <w:p>
      <w:pPr>
        <w:spacing w:after="0" w:line="129" w:lineRule="exact"/>
        <w:rPr>
          <w:sz w:val="20"/>
          <w:szCs w:val="20"/>
          <w:color w:val="auto"/>
        </w:rPr>
      </w:pPr>
    </w:p>
    <w:p>
      <w:pPr>
        <w:ind w:right="240" w:firstLine="8"/>
        <w:spacing w:after="0" w:line="279" w:lineRule="auto"/>
        <w:tabs>
          <w:tab w:leader="none" w:pos="22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63" w:lineRule="exact"/>
        <w:rPr>
          <w:rFonts w:ascii="Arial" w:cs="Arial" w:eastAsia="Arial" w:hAnsi="Arial"/>
          <w:sz w:val="17"/>
          <w:szCs w:val="17"/>
          <w:color w:val="auto"/>
        </w:rPr>
      </w:pPr>
    </w:p>
    <w:p>
      <w:pPr>
        <w:ind w:left="320" w:hanging="312"/>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8780" w:firstLine="8"/>
        <w:spacing w:after="0" w:line="373" w:lineRule="auto"/>
        <w:tabs>
          <w:tab w:leader="none" w:pos="24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31750</wp:posOffset>
            </wp:positionV>
            <wp:extent cx="40805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266" w:lineRule="exact"/>
        <w:rPr>
          <w:sz w:val="20"/>
          <w:szCs w:val="20"/>
          <w:color w:val="auto"/>
        </w:rPr>
      </w:pPr>
    </w:p>
    <w:p>
      <w:pPr>
        <w:ind w:left="1880"/>
        <w:spacing w:after="0"/>
        <w:tabs>
          <w:tab w:leader="none" w:pos="4840" w:val="left"/>
        </w:tabs>
        <w:rPr>
          <w:sz w:val="20"/>
          <w:szCs w:val="20"/>
          <w:color w:val="auto"/>
        </w:rPr>
      </w:pPr>
      <w:r>
        <w:rPr>
          <w:rFonts w:ascii="Arial" w:cs="Arial" w:eastAsia="Arial" w:hAnsi="Arial"/>
          <w:sz w:val="18"/>
          <w:szCs w:val="18"/>
          <w:color w:val="auto"/>
        </w:rPr>
        <w:t>March 4, 2021</w:t>
      </w:r>
      <w:r>
        <w:rPr>
          <w:sz w:val="20"/>
          <w:szCs w:val="20"/>
          <w:color w:val="auto"/>
        </w:rPr>
        <w:tab/>
      </w:r>
      <w:r>
        <w:rPr>
          <w:rFonts w:ascii="Arial" w:cs="Arial" w:eastAsia="Arial" w:hAnsi="Arial"/>
          <w:sz w:val="16"/>
          <w:szCs w:val="16"/>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31750</wp:posOffset>
            </wp:positionV>
            <wp:extent cx="40805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92" w:lineRule="exact"/>
        <w:rPr>
          <w:sz w:val="20"/>
          <w:szCs w:val="20"/>
          <w:color w:val="auto"/>
        </w:rPr>
      </w:pPr>
    </w:p>
    <w:p>
      <w:pPr>
        <w:ind w:left="4860" w:right="420"/>
        <w:spacing w:after="0" w:line="277"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ind w:left="1480"/>
              <w:spacing w:after="0"/>
              <w:rPr>
                <w:sz w:val="20"/>
                <w:szCs w:val="20"/>
                <w:color w:val="auto"/>
              </w:rPr>
            </w:pPr>
            <w:r>
              <w:rPr>
                <w:rFonts w:ascii="Arial" w:cs="Arial" w:eastAsia="Arial" w:hAnsi="Arial"/>
                <w:sz w:val="18"/>
                <w:szCs w:val="18"/>
                <w:color w:val="auto"/>
              </w:rPr>
              <w:t>Signature</w:t>
            </w:r>
          </w:p>
        </w:tc>
        <w:tc>
          <w:tcPr>
            <w:tcW w:w="4780" w:type="dxa"/>
            <w:vAlign w:val="bottom"/>
          </w:tcPr>
          <w:p>
            <w:pPr>
              <w:ind w:left="2100"/>
              <w:spacing w:after="0"/>
              <w:rPr>
                <w:sz w:val="20"/>
                <w:szCs w:val="20"/>
                <w:color w:val="auto"/>
              </w:rPr>
            </w:pPr>
            <w:r>
              <w:rPr>
                <w:rFonts w:ascii="Arial" w:cs="Arial" w:eastAsia="Arial" w:hAnsi="Arial"/>
                <w:sz w:val="18"/>
                <w:szCs w:val="18"/>
                <w:color w:val="auto"/>
              </w:rPr>
              <w:t>Title</w:t>
            </w:r>
          </w:p>
        </w:tc>
        <w:tc>
          <w:tcPr>
            <w:tcW w:w="1860" w:type="dxa"/>
            <w:vAlign w:val="bottom"/>
          </w:tcPr>
          <w:p>
            <w:pPr>
              <w:ind w:left="1520"/>
              <w:spacing w:after="0"/>
              <w:rPr>
                <w:sz w:val="20"/>
                <w:szCs w:val="20"/>
                <w:color w:val="auto"/>
              </w:rPr>
            </w:pPr>
            <w:r>
              <w:rPr>
                <w:rFonts w:ascii="Arial" w:cs="Arial" w:eastAsia="Arial" w:hAnsi="Arial"/>
                <w:sz w:val="18"/>
                <w:szCs w:val="18"/>
                <w:color w:val="auto"/>
                <w:w w:val="84"/>
              </w:rPr>
              <w:t>Date</w:t>
            </w:r>
          </w:p>
        </w:tc>
      </w:tr>
      <w:tr>
        <w:trPr>
          <w:trHeight w:val="269"/>
        </w:trPr>
        <w:tc>
          <w:tcPr>
            <w:tcW w:w="3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Director, President and Chief Executive Officer (Principal</w:t>
            </w:r>
          </w:p>
        </w:tc>
        <w:tc>
          <w:tcPr>
            <w:tcW w:w="1860" w:type="dxa"/>
            <w:vAlign w:val="bottom"/>
          </w:tcPr>
          <w:p>
            <w:pPr>
              <w:spacing w:after="0"/>
              <w:rPr>
                <w:sz w:val="23"/>
                <w:szCs w:val="23"/>
                <w:color w:val="auto"/>
              </w:rPr>
            </w:pPr>
          </w:p>
        </w:tc>
      </w:tr>
      <w:tr>
        <w:trPr>
          <w:trHeight w:val="230"/>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J. HEATH DENEKE</w:t>
            </w:r>
          </w:p>
        </w:tc>
        <w:tc>
          <w:tcPr>
            <w:tcW w:w="4780" w:type="dxa"/>
            <w:vAlign w:val="bottom"/>
          </w:tcPr>
          <w:p>
            <w:pPr>
              <w:ind w:left="60"/>
              <w:spacing w:after="0"/>
              <w:rPr>
                <w:sz w:val="20"/>
                <w:szCs w:val="20"/>
                <w:color w:val="auto"/>
              </w:rPr>
            </w:pPr>
            <w:r>
              <w:rPr>
                <w:rFonts w:ascii="Arial" w:cs="Arial" w:eastAsia="Arial" w:hAnsi="Arial"/>
                <w:sz w:val="18"/>
                <w:szCs w:val="18"/>
                <w:color w:val="auto"/>
              </w:rPr>
              <w:t>Executive Officer)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J. Heath Deneke</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755"/>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w:t>
            </w:r>
          </w:p>
        </w:tc>
        <w:tc>
          <w:tcPr>
            <w:tcW w:w="1860" w:type="dxa"/>
            <w:vAlign w:val="bottom"/>
          </w:tcPr>
          <w:p>
            <w:pPr>
              <w:spacing w:after="0"/>
              <w:rPr>
                <w:sz w:val="24"/>
                <w:szCs w:val="24"/>
                <w:color w:val="auto"/>
              </w:rPr>
            </w:pPr>
          </w:p>
        </w:tc>
      </w:tr>
      <w:tr>
        <w:trPr>
          <w:trHeight w:val="230"/>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MARC D. STRATTON</w:t>
            </w:r>
          </w:p>
        </w:tc>
        <w:tc>
          <w:tcPr>
            <w:tcW w:w="4780" w:type="dxa"/>
            <w:vAlign w:val="bottom"/>
          </w:tcPr>
          <w:p>
            <w:pPr>
              <w:ind w:left="60"/>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Marc D. Stratton</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JAMES J. CLEARY</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James J. Cleary</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LEE JACOBE</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Lee Jacobe</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ROBERT J. MCNALLY</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Robert J. McNally</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JERRY L. PETERS</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7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Jerry L. Peters</w:t>
            </w:r>
          </w:p>
        </w:tc>
        <w:tc>
          <w:tcPr>
            <w:tcW w:w="47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ROBERT M. WOHLEBER</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0"/>
        </w:trPr>
        <w:tc>
          <w:tcPr>
            <w:tcW w:w="362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7"/>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Robert M. Wohleber</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21"/>
        </w:trPr>
        <w:tc>
          <w:tcPr>
            <w:tcW w:w="4140" w:type="dxa"/>
            <w:vAlign w:val="bottom"/>
            <w:gridSpan w:val="2"/>
          </w:tcPr>
          <w:p>
            <w:pPr>
              <w:ind w:left="60"/>
              <w:spacing w:after="0"/>
              <w:rPr>
                <w:sz w:val="20"/>
                <w:szCs w:val="20"/>
                <w:color w:val="auto"/>
              </w:rPr>
            </w:pPr>
            <w:r>
              <w:rPr>
                <w:rFonts w:ascii="Arial" w:cs="Arial" w:eastAsia="Arial" w:hAnsi="Arial"/>
                <w:sz w:val="18"/>
                <w:szCs w:val="18"/>
                <w:i w:val="1"/>
                <w:iCs w:val="1"/>
                <w:color w:val="auto"/>
              </w:rPr>
              <w:t>/s/ MARGUERITE WOUNG-CHAPMAN</w:t>
            </w:r>
          </w:p>
        </w:tc>
        <w:tc>
          <w:tcPr>
            <w:tcW w:w="4780" w:type="dxa"/>
            <w:vAlign w:val="bottom"/>
          </w:tcPr>
          <w:p>
            <w:pPr>
              <w:ind w:left="6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540"/>
              <w:spacing w:after="0"/>
              <w:rPr>
                <w:sz w:val="20"/>
                <w:szCs w:val="20"/>
                <w:color w:val="auto"/>
              </w:rPr>
            </w:pPr>
            <w:r>
              <w:rPr>
                <w:rFonts w:ascii="Arial" w:cs="Arial" w:eastAsia="Arial" w:hAnsi="Arial"/>
                <w:sz w:val="18"/>
                <w:szCs w:val="18"/>
                <w:color w:val="auto"/>
              </w:rPr>
              <w:t>March 4, 2021</w:t>
            </w:r>
          </w:p>
        </w:tc>
      </w:tr>
      <w:tr>
        <w:trPr>
          <w:trHeight w:val="41"/>
        </w:trPr>
        <w:tc>
          <w:tcPr>
            <w:tcW w:w="3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7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6"/>
        </w:trPr>
        <w:tc>
          <w:tcPr>
            <w:tcW w:w="4140" w:type="dxa"/>
            <w:vAlign w:val="bottom"/>
            <w:gridSpan w:val="2"/>
          </w:tcPr>
          <w:p>
            <w:pPr>
              <w:ind w:left="60"/>
              <w:spacing w:after="0"/>
              <w:rPr>
                <w:sz w:val="20"/>
                <w:szCs w:val="20"/>
                <w:color w:val="auto"/>
              </w:rPr>
            </w:pPr>
            <w:r>
              <w:rPr>
                <w:rFonts w:ascii="Arial" w:cs="Arial" w:eastAsia="Arial" w:hAnsi="Arial"/>
                <w:sz w:val="18"/>
                <w:szCs w:val="18"/>
                <w:color w:val="auto"/>
              </w:rPr>
              <w:t>Marguerite Woung-Chapman</w:t>
            </w:r>
          </w:p>
        </w:tc>
        <w:tc>
          <w:tcPr>
            <w:tcW w:w="47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972"/>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80" w:type="dxa"/>
            <w:vAlign w:val="bottom"/>
          </w:tcPr>
          <w:p>
            <w:pPr>
              <w:ind w:left="1340"/>
              <w:spacing w:after="0"/>
              <w:rPr>
                <w:sz w:val="20"/>
                <w:szCs w:val="20"/>
                <w:color w:val="auto"/>
              </w:rPr>
            </w:pPr>
            <w:r>
              <w:rPr>
                <w:rFonts w:ascii="Arial" w:cs="Arial" w:eastAsia="Arial" w:hAnsi="Arial"/>
                <w:sz w:val="18"/>
                <w:szCs w:val="18"/>
                <w:color w:val="auto"/>
              </w:rPr>
              <w:t>167</w:t>
            </w:r>
          </w:p>
        </w:tc>
        <w:tc>
          <w:tcPr>
            <w:tcW w:w="1860" w:type="dxa"/>
            <w:vAlign w:val="bottom"/>
          </w:tcPr>
          <w:p>
            <w:pPr>
              <w:spacing w:after="0"/>
              <w:rPr>
                <w:sz w:val="24"/>
                <w:szCs w:val="24"/>
                <w:color w:val="auto"/>
              </w:rPr>
            </w:pPr>
          </w:p>
        </w:tc>
      </w:tr>
    </w:tbl>
    <w:p>
      <w:pPr>
        <w:sectPr>
          <w:pgSz w:w="11900" w:h="16838" w:orient="portrait"/>
          <w:cols w:equalWidth="0" w:num="1">
            <w:col w:w="11180"/>
          </w:cols>
          <w:pgMar w:left="320" w:top="247" w:right="3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29"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The following description of the common units representing limited partner interests (“common units”) in Summit Midstream Partners, LP, a Delaware limited partnership (the “partnership” or, as the context requires, “we,” “us” or “our”), is a summary and is subject to, and qualified in its entirety by, reference to the provisions of our Third Amended and Restated Agreement of Limited Partnership, dated as of March 22, 2019 (referred to herein as our “partnership agreement”), which has been filed as Exhibit 3.1 to our Annual Report on Form 10-K for the year ended December 31, 2019, of which this Exhibit 4.1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common units represent limited partner interests in us. The holders of common units are entitled to participate in partnership distributions and are entitled to exercise the rights and privileges available to limited partners under our partnership agreement.</w:t>
      </w:r>
    </w:p>
    <w:p>
      <w:pPr>
        <w:spacing w:after="0" w:line="17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Our outstanding common units are listed on the New York Stock Exchange (the “NYSE”) under the symbol “SMLP,” and any additional common units we issue will also be listed on the NYSE.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2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November 14, 2017, we issued 300,000 Series A Fixed-to-Floating Rate Cumulative Redeemable Perpetual Preferred Units representing limited partner interests in us (the “Series A preferred units”) at a price to the public of $1,000 per unit. The Series A preferred units currently rank senior to our common units with respect to distribution rights and rights upon liquidation. The following description of the Series A preferred units is included because various terms of the Series A preferred units could impact our common units. Please also read “—Voting Rights—Voting Rights of Series A Preferred Units.”</w:t>
      </w:r>
    </w:p>
    <w:p>
      <w:pPr>
        <w:spacing w:after="0" w:line="18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Series A preferred units represent perpetual equity interests in us, and they have no stated maturity or mandatory redemption date. Holders of the Series A preferred units generally have no voting rights, except for limited voting rights in certain circumstances.</w:t>
      </w:r>
    </w:p>
    <w:p>
      <w:pPr>
        <w:spacing w:after="0" w:line="170" w:lineRule="exact"/>
        <w:rPr>
          <w:sz w:val="20"/>
          <w:szCs w:val="20"/>
          <w:color w:val="auto"/>
        </w:rPr>
      </w:pPr>
    </w:p>
    <w:p>
      <w:pPr>
        <w:ind w:right="80" w:firstLine="589"/>
        <w:spacing w:after="0" w:line="258" w:lineRule="auto"/>
        <w:rPr>
          <w:sz w:val="20"/>
          <w:szCs w:val="20"/>
          <w:color w:val="auto"/>
        </w:rPr>
      </w:pPr>
      <w:r>
        <w:rPr>
          <w:rFonts w:ascii="Arial" w:cs="Arial" w:eastAsia="Arial" w:hAnsi="Arial"/>
          <w:sz w:val="16"/>
          <w:szCs w:val="16"/>
          <w:color w:val="auto"/>
        </w:rPr>
        <w:t>The holders of our Series A preferred units are entitled to receive, when, as and if declared by our general partner out of legally available funds for such purpose, cumulative and compounding semi-annual distributions or quarterly cash distributions, as applicable. Distributions on the Series A preferred units are cumulative and compounding from November 14, 2017, the date of original issue, and are payable semi-annually in arrears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days of June and December of each year to, but not including, December 15, 2022 and, thereafter, quarterly in arrears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days of March, June, September and December of each year. The initial distribution rate for the Series A preferred units from and including November 14, 2017 to, but not including, December 15, 2022 is 9.50% per year of the liquidation preference per unit (equal to $95 per unit per year). On and after December 15, 2022, distributions on the Series A preferred units will accumulate for each distribution period at a percentage of the liquidation preference equal to the three-month LIBOR, or, if no such rate is so published, a substitute or successor rate determined by the calculation agent, plus a spread of 7.43%.</w:t>
      </w:r>
    </w:p>
    <w:p>
      <w:pPr>
        <w:spacing w:after="0" w:line="189"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Series A preferred units have a liquidation preference of $1,000 per unit. Upon the occurrence of certain rating agency events, we may redeem the Series A preferred units, in whole but not in part, at a price of $1,020 (102% of the liquidation preference) per Series A preferred unit plus an amount equal to all accumulated and unpaid distributions thereon to, but not including, the date fixed for redemption, whether or not declared. In addition, at any time on or after December 15, 2022, we may, at our option, redeem the Series A preferred units, in whole or in part, at a redemption price of (i) $1,040 for the year 2022, $1,020 for the year 2023 or $1000 for the years 2024 and thereafter (104%, 102% and 100% of the liquidation preference, respectively), per Series A preferred unit plus an amount equal to all accumulated and unpaid distributions thereon to, but not including,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t>whether or not declared (assuming such Series A preferred units are redeemed during the 12-month period beginning on the years indicated).</w:t>
      </w:r>
    </w:p>
    <w:p>
      <w:pPr>
        <w:spacing w:after="0" w:line="23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If certain change of control triggering events occur, each holder of the Series A preferred units may require us to repurchase all or a portion of such holders Series A preferred units at a purchase price equal to $1,010 per Series A preferred unit (101% of the liquidation preference) plus an amount equal to all accumulated and unpaid distributions thereon to, but not including, the date of settlement. Any such redemption would be effected only out of funds legally available for such purposes and will be subject to compliance with the provisions of our outstanding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Cash Distribution Policy.</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Our partnership agreement requires that, within 45 days after the end of each quarter, we distribute all of our available cash to common unitholders of record on the applicable record date. Please read “—Definition of Available Cash” below. Because we are not subject to an entity-level federal income tax, we have more cash to distribute to our unitholders than would be the case were we subject to federal income tax.</w:t>
      </w:r>
    </w:p>
    <w:p>
      <w:pPr>
        <w:spacing w:after="0" w:line="16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We pay our distributions on or about the 15th of each of February, May, August and November to holders of record on or about seven days prior to such distribution date. We make the distribution on the business day immediately preceding the indicated distribution date if the distribution date falls on a holiday or non-business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Cash Distributions and Our Ability to Change Our Cash Distribution Policy.</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There is no guarantee that our unitholders will receive quarterly distributions from us. We do not have a legal obligation to pay any distribution on our common units except to the extent we have available cash as defined in our partnership agreement and discussed in further detail below. Our cash distribution policy may be changed at any time and is subject to certain restrictions, including the following:</w:t>
      </w:r>
    </w:p>
    <w:p>
      <w:pPr>
        <w:spacing w:after="0" w:line="184" w:lineRule="exact"/>
        <w:rPr>
          <w:sz w:val="20"/>
          <w:szCs w:val="20"/>
          <w:color w:val="auto"/>
        </w:rPr>
      </w:pPr>
    </w:p>
    <w:p>
      <w:pPr>
        <w:jc w:val="both"/>
        <w:ind w:left="880" w:hanging="440"/>
        <w:spacing w:after="0" w:line="255"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under our Third Amended and Restated Credit Agreement dated as of May 26, 2017, as amended by the First Amendment to Third Amended and Restated Credit Agreement dated as of September 22, 2017 and by the Second Amendment to Third Amended and Restated Credit Agreement dated as of June 26, 2019 (the “Revolving Credit Facility”) and our Material Senior Indebtedness (as defined below). Our Revolving Credit Facility and Material Senior Indebtedness contain financial tests and covenants that we must satisfy. Should we be unable to satisfy these restrictions, we may be prohibited from making cash distributions notwithstanding our stated cash distribution policy.</w:t>
      </w:r>
    </w:p>
    <w:p>
      <w:pPr>
        <w:spacing w:after="0" w:line="192" w:lineRule="exact"/>
        <w:rPr>
          <w:rFonts w:ascii="Arial" w:cs="Arial" w:eastAsia="Arial" w:hAnsi="Arial"/>
          <w:sz w:val="18"/>
          <w:szCs w:val="18"/>
          <w:color w:val="auto"/>
        </w:rPr>
      </w:pPr>
    </w:p>
    <w:p>
      <w:pPr>
        <w:jc w:val="both"/>
        <w:ind w:left="880" w:hanging="440"/>
        <w:spacing w:after="0" w:line="293" w:lineRule="auto"/>
        <w:tabs>
          <w:tab w:leader="none" w:pos="8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any quarter, the Series A preferred units and any Parity Securities (as defined below) must receive the distribution to which they are entitled for that quarter, plus any accrued and unpaid distributions from prior quarters, and the general partner must expect to have sufficient funds to pay the next distribution on the Series A preferred units and any Parity Securities, before any distributions can be paid on the common units. We cannot pay distributions on any junior securities, including any of the common units, prior to paying the distributions payable on the Series A preferred units. In addition, our Series A preferred units contain covenants that we must satisfy. Should we be unable to satisfy these restrictions, we may be prohibited from making cash distributions on our common units notwithstanding our stated cash distribution policy.</w:t>
      </w:r>
    </w:p>
    <w:p>
      <w:pPr>
        <w:spacing w:after="0" w:line="164" w:lineRule="exact"/>
        <w:rPr>
          <w:rFonts w:ascii="Arial" w:cs="Arial" w:eastAsia="Arial" w:hAnsi="Arial"/>
          <w:sz w:val="16"/>
          <w:szCs w:val="16"/>
          <w:color w:val="auto"/>
        </w:rPr>
      </w:pPr>
    </w:p>
    <w:p>
      <w:pPr>
        <w:jc w:val="both"/>
        <w:ind w:left="880" w:hanging="440"/>
        <w:spacing w:after="0" w:line="259"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spacing w:after="0" w:line="186"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the provisions requiring us to distribute all of our available cash, may be amended. We</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9" w:name="page170"/>
    <w:bookmarkEnd w:id="169"/>
    <w:p>
      <w:pPr>
        <w:jc w:val="both"/>
        <w:ind w:left="880"/>
        <w:spacing w:after="0" w:line="259" w:lineRule="auto"/>
        <w:rPr>
          <w:sz w:val="20"/>
          <w:szCs w:val="20"/>
          <w:color w:val="auto"/>
        </w:rPr>
      </w:pPr>
      <w:r>
        <w:rPr>
          <w:rFonts w:ascii="Arial" w:cs="Arial" w:eastAsia="Arial" w:hAnsi="Arial"/>
          <w:sz w:val="18"/>
          <w:szCs w:val="18"/>
          <w:color w:val="auto"/>
        </w:rPr>
        <w:t>can amend our partnership agreement with the consent of our general partner and the approval of a majority of the outstanding common units (including common units beneficially owned by Summit Midstream Partners, LLC). As of February 18, 2020, Summit Midstream Partners Holdings, LLC, which is the parent of our general partner, beneficially owned 45,318,866 and SMLP Holdings, LLC beneficially owned 5,915,827 common units.</w:t>
      </w:r>
    </w:p>
    <w:p>
      <w:pPr>
        <w:spacing w:after="0" w:line="187" w:lineRule="exact"/>
        <w:rPr>
          <w:sz w:val="20"/>
          <w:szCs w:val="20"/>
          <w:color w:val="auto"/>
        </w:rPr>
      </w:pPr>
    </w:p>
    <w:p>
      <w:pPr>
        <w:ind w:left="880" w:hanging="440"/>
        <w:spacing w:after="0" w:line="342" w:lineRule="auto"/>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Under Delaware law, we may not make a distribution if the distribution would cause our liabilities to exceed the fair value of our assets.</w:t>
      </w:r>
    </w:p>
    <w:p>
      <w:pPr>
        <w:spacing w:after="0" w:line="236" w:lineRule="exact"/>
        <w:rPr>
          <w:rFonts w:ascii="Arial" w:cs="Arial" w:eastAsia="Arial" w:hAnsi="Arial"/>
          <w:sz w:val="17"/>
          <w:szCs w:val="17"/>
          <w:color w:val="auto"/>
        </w:rPr>
      </w:pPr>
    </w:p>
    <w:p>
      <w:pPr>
        <w:jc w:val="both"/>
        <w:ind w:left="880" w:hanging="440"/>
        <w:spacing w:after="0" w:line="301" w:lineRule="auto"/>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spacing w:after="0" w:line="157"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and to the extent our cash available for distribution materially declines, we may elect to reduce our quarterly distribution rate to service or repay our debt or fund expansion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Available Cash.</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partnership agreement generally defines “available cash” for any quarter as:</w:t>
      </w:r>
    </w:p>
    <w:p>
      <w:pPr>
        <w:spacing w:after="0" w:line="225" w:lineRule="exact"/>
        <w:rPr>
          <w:sz w:val="20"/>
          <w:szCs w:val="20"/>
          <w:color w:val="auto"/>
        </w:rPr>
      </w:pPr>
    </w:p>
    <w:p>
      <w:pPr>
        <w:ind w:left="1740" w:hanging="436"/>
        <w:spacing w:after="0"/>
        <w:tabs>
          <w:tab w:leader="none" w:pos="1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2580" w:hanging="426"/>
        <w:spacing w:after="0"/>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all of our and our subsidiaries’ cash and cash equivalents on hand at the end of that quarter;</w:t>
      </w:r>
    </w:p>
    <w:p>
      <w:pPr>
        <w:spacing w:after="0" w:line="209" w:lineRule="exact"/>
        <w:rPr>
          <w:rFonts w:ascii="Courier New" w:cs="Courier New" w:eastAsia="Courier New" w:hAnsi="Courier New"/>
          <w:sz w:val="18"/>
          <w:szCs w:val="18"/>
          <w:color w:val="auto"/>
        </w:rPr>
      </w:pPr>
    </w:p>
    <w:p>
      <w:pPr>
        <w:jc w:val="both"/>
        <w:ind w:left="2580" w:hanging="426"/>
        <w:spacing w:after="0" w:line="254" w:lineRule="auto"/>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as determined by our general partner, all of our and our subsidiaries’ cash or cash equivalents on hand on the date of determination of available cash for that quarter resulting from working capital borrowings (as described below) made after the end of that quarter; less</w:t>
      </w:r>
    </w:p>
    <w:p>
      <w:pPr>
        <w:spacing w:after="0" w:line="18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to:</w:t>
      </w:r>
    </w:p>
    <w:p>
      <w:pPr>
        <w:spacing w:after="0" w:line="225" w:lineRule="exact"/>
        <w:rPr>
          <w:rFonts w:ascii="Arial" w:cs="Arial" w:eastAsia="Arial" w:hAnsi="Arial"/>
          <w:sz w:val="18"/>
          <w:szCs w:val="18"/>
          <w:color w:val="auto"/>
        </w:rPr>
      </w:pPr>
    </w:p>
    <w:p>
      <w:pPr>
        <w:ind w:left="2580" w:hanging="426"/>
        <w:spacing w:after="0" w:line="259" w:lineRule="auto"/>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provide for the proper conduct of our business (including reserves for future capital expenditures and for future credit needs);</w:t>
      </w:r>
    </w:p>
    <w:p>
      <w:pPr>
        <w:spacing w:after="0" w:line="184" w:lineRule="exact"/>
        <w:rPr>
          <w:rFonts w:ascii="Courier New" w:cs="Courier New" w:eastAsia="Courier New" w:hAnsi="Courier New"/>
          <w:sz w:val="18"/>
          <w:szCs w:val="18"/>
          <w:color w:val="auto"/>
        </w:rPr>
      </w:pPr>
    </w:p>
    <w:p>
      <w:pPr>
        <w:ind w:left="2580" w:hanging="426"/>
        <w:spacing w:after="0" w:line="259" w:lineRule="auto"/>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comply with applicable law or any debt instrument or other agreement or obligation to which we or our subsidiaries are a party or to which our or our subsidiaries’ assets are subject;</w:t>
      </w:r>
    </w:p>
    <w:p>
      <w:pPr>
        <w:spacing w:after="0" w:line="184" w:lineRule="exact"/>
        <w:rPr>
          <w:rFonts w:ascii="Courier New" w:cs="Courier New" w:eastAsia="Courier New" w:hAnsi="Courier New"/>
          <w:sz w:val="18"/>
          <w:szCs w:val="18"/>
          <w:color w:val="auto"/>
        </w:rPr>
      </w:pPr>
    </w:p>
    <w:p>
      <w:pPr>
        <w:ind w:left="2580" w:hanging="426"/>
        <w:spacing w:after="0"/>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provide funds for distributions on the Series A preferred units; or</w:t>
      </w:r>
    </w:p>
    <w:p>
      <w:pPr>
        <w:spacing w:after="0" w:line="209" w:lineRule="exact"/>
        <w:rPr>
          <w:rFonts w:ascii="Courier New" w:cs="Courier New" w:eastAsia="Courier New" w:hAnsi="Courier New"/>
          <w:sz w:val="18"/>
          <w:szCs w:val="18"/>
          <w:color w:val="auto"/>
        </w:rPr>
      </w:pPr>
    </w:p>
    <w:p>
      <w:pPr>
        <w:ind w:left="2580" w:hanging="426"/>
        <w:spacing w:after="0"/>
        <w:tabs>
          <w:tab w:leader="none" w:pos="2580" w:val="left"/>
        </w:tabs>
        <w:numPr>
          <w:ilvl w:val="1"/>
          <w:numId w:val="135"/>
        </w:numPr>
        <w:rPr>
          <w:rFonts w:ascii="Courier New" w:cs="Courier New" w:eastAsia="Courier New" w:hAnsi="Courier New"/>
          <w:sz w:val="18"/>
          <w:szCs w:val="18"/>
          <w:color w:val="auto"/>
        </w:rPr>
      </w:pPr>
      <w:r>
        <w:rPr>
          <w:rFonts w:ascii="Arial" w:cs="Arial" w:eastAsia="Arial" w:hAnsi="Arial"/>
          <w:sz w:val="18"/>
          <w:szCs w:val="18"/>
          <w:color w:val="auto"/>
        </w:rPr>
        <w:t>provide funds for distributions to our common unitholders for any one or more of the next four quarters;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however, that if our general partner so determines, disbursements made by us or our subsidiaries or cash reserves established, increased or reduced after the end of such quarter but on or before the date of determination of available cash with respect to such quarter shall deemed to have been made, established, increased or reduced, for purposes of determining available cash within such quarter.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0" w:name="page171"/>
    <w:bookmarkEnd w:id="170"/>
    <w:p>
      <w:pPr>
        <w:jc w:val="both"/>
        <w:ind w:firstLine="864"/>
        <w:spacing w:after="0" w:line="263" w:lineRule="auto"/>
        <w:rPr>
          <w:sz w:val="20"/>
          <w:szCs w:val="20"/>
          <w:color w:val="auto"/>
        </w:rPr>
      </w:pPr>
      <w:r>
        <w:rPr>
          <w:rFonts w:ascii="Arial" w:cs="Arial" w:eastAsia="Arial" w:hAnsi="Arial"/>
          <w:sz w:val="18"/>
          <w:szCs w:val="18"/>
          <w:color w:val="auto"/>
        </w:rPr>
        <w:t>Working capital borrowings are generally borrowings incurred under a credit facility, commercial paper facility or similar financing arrangement that are used solely for working capital purposes or to pay distributions to unitholders, and with the intent of the borrower to repay such borrowings within 12 months with funds other than from additional working capital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 of Distributions.</w:t>
      </w:r>
    </w:p>
    <w:p>
      <w:pPr>
        <w:spacing w:after="0" w:line="225" w:lineRule="exact"/>
        <w:rPr>
          <w:sz w:val="20"/>
          <w:szCs w:val="20"/>
          <w:color w:val="auto"/>
        </w:rPr>
      </w:pPr>
    </w:p>
    <w:p>
      <w:pPr>
        <w:ind w:right="280" w:firstLine="864"/>
        <w:spacing w:after="0" w:line="259" w:lineRule="auto"/>
        <w:rPr>
          <w:sz w:val="20"/>
          <w:szCs w:val="20"/>
          <w:color w:val="auto"/>
        </w:rPr>
      </w:pPr>
      <w:r>
        <w:rPr>
          <w:rFonts w:ascii="Arial" w:cs="Arial" w:eastAsia="Arial" w:hAnsi="Arial"/>
          <w:sz w:val="18"/>
          <w:szCs w:val="18"/>
          <w:color w:val="auto"/>
        </w:rPr>
        <w:t>Subject to the distribution preferences of the Series A Preferred Units, we intend to distribute available cash to our common unitholders, pro rata. Our partnership agreement permits, but does not require, us to borrow to pay distributions. Accordingly, there is no guarantee that we will pay any distribution on the common units in any quarter. The Series A preferred units receive the distribution preference described below under “—Series A Preferred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Units.</w:t>
      </w:r>
    </w:p>
    <w:p>
      <w:pPr>
        <w:spacing w:after="0" w:line="225" w:lineRule="exact"/>
        <w:rPr>
          <w:sz w:val="20"/>
          <w:szCs w:val="20"/>
          <w:color w:val="auto"/>
        </w:rPr>
      </w:pPr>
    </w:p>
    <w:p>
      <w:pPr>
        <w:ind w:right="80" w:firstLine="864"/>
        <w:spacing w:after="0" w:line="301" w:lineRule="auto"/>
        <w:rPr>
          <w:sz w:val="20"/>
          <w:szCs w:val="20"/>
          <w:color w:val="auto"/>
        </w:rPr>
      </w:pPr>
      <w:r>
        <w:rPr>
          <w:rFonts w:ascii="Arial" w:cs="Arial" w:eastAsia="Arial" w:hAnsi="Arial"/>
          <w:sz w:val="16"/>
          <w:szCs w:val="16"/>
          <w:color w:val="auto"/>
        </w:rPr>
        <w:t>As of January 2, 2020, we had 93,493,473 common units outstanding. Subject to the distribution preferences of the Series A preferred units, each common unit is entitled to receive cash distributions to the extent we distribute available cash. Common units do not accrue arrearages. Subject to the voting rights of the Series A preferred units, our partnership agreement allows us to issue an unlimited number of additional equity interests of equal or senior rank. Please read “The Partnership Agreement—Issuances of Additional Partnership Interests” and “The Partnership Agreement—Voting Rights.”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w:t>
      </w:r>
    </w:p>
    <w:p>
      <w:pPr>
        <w:spacing w:after="0" w:line="225"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As of January 2, 2020, we had 300,000 Series A preferred units outstanding. Until the redemption of the Series A preferred units, holders of the Series A preferred units are entitled to receive cumulative compounding distributions semi-annually, until December 15, 2022 and quarterly thereafter. We cannot pay any distributions on any junior securities, including any of the common units, prior to paying the distribution payable to the Series A preferred units. Please read “Description of Our Preferred Units—Series A Preferred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outstanding common units.</w:t>
      </w:r>
    </w:p>
    <w:p>
      <w:pPr>
        <w:spacing w:after="0" w:line="170" w:lineRule="exact"/>
        <w:rPr>
          <w:sz w:val="20"/>
          <w:szCs w:val="20"/>
          <w:color w:val="auto"/>
        </w:rPr>
      </w:pPr>
    </w:p>
    <w:p>
      <w:pPr>
        <w:ind w:firstLine="864"/>
        <w:spacing w:after="0" w:line="342" w:lineRule="auto"/>
        <w:rPr>
          <w:sz w:val="20"/>
          <w:szCs w:val="20"/>
          <w:color w:val="auto"/>
        </w:rPr>
      </w:pPr>
      <w:r>
        <w:rPr>
          <w:rFonts w:ascii="Arial" w:cs="Arial" w:eastAsia="Arial" w:hAnsi="Arial"/>
          <w:sz w:val="16"/>
          <w:szCs w:val="16"/>
          <w:color w:val="auto"/>
        </w:rPr>
        <w:t>In voting their common units, our general partner and its affiliates will have no fiduciary duty or obligation whatsoever to us or our unitholders, including any duty to act in the best interests of us or our unitholders, other than the implied contractual covenant of good faith and fair dealing.</w:t>
      </w:r>
    </w:p>
    <w:p>
      <w:pPr>
        <w:sectPr>
          <w:pgSz w:w="11900" w:h="16838" w:orient="portrait"/>
          <w:cols w:equalWidth="0" w:num="1">
            <w:col w:w="11240"/>
          </w:cols>
          <w:pgMar w:left="320" w:top="368" w:right="339" w:bottom="1440" w:gutter="0" w:footer="0" w:header="0"/>
        </w:sectPr>
      </w:pPr>
    </w:p>
    <w:p>
      <w:pPr>
        <w:spacing w:after="0" w:line="1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Issuance of additional units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 approval right by common unitholders; certain issuances require approval by 66 2/3% of the holders of our Series A preferred units. Please read “— Voting Rights of Series A Preferred Units.”</w:t>
      </w:r>
    </w:p>
    <w:p>
      <w:pPr>
        <w:spacing w:after="0" w:line="200" w:lineRule="exact"/>
        <w:rPr>
          <w:sz w:val="20"/>
          <w:szCs w:val="20"/>
          <w:color w:val="auto"/>
        </w:rPr>
      </w:pPr>
    </w:p>
    <w:p>
      <w:pPr>
        <w:sectPr>
          <w:pgSz w:w="11900" w:h="16838" w:orient="portrait"/>
          <w:cols w:equalWidth="0" w:num="2">
            <w:col w:w="4900" w:space="720"/>
            <w:col w:w="5620"/>
          </w:cols>
          <w:pgMar w:left="320" w:top="368"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1" w:name="page172"/>
    <w:bookmarkEnd w:id="171"/>
    <w:p>
      <w:pPr>
        <w:ind w:left="80"/>
        <w:spacing w:after="0"/>
        <w:rPr>
          <w:sz w:val="20"/>
          <w:szCs w:val="20"/>
          <w:color w:val="auto"/>
        </w:rPr>
      </w:pPr>
      <w:r>
        <w:rPr>
          <w:rFonts w:ascii="Arial" w:cs="Arial" w:eastAsia="Arial" w:hAnsi="Arial"/>
          <w:sz w:val="16"/>
          <w:szCs w:val="16"/>
          <w:color w:val="auto"/>
        </w:rPr>
        <w:t>Amendment of our partnership agreement</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Certain amendments may be made by our general partner without the approval of the unitholders, and certain other amendments that would materially adversely affect any of the preferences, rights, powers, duties or obligations of the Series A preferred units require the approval of holders of 66 2/3% of the Series A preferred units. Other amendments generally require the approval of a unit majority. Please read “—</w:t>
      </w:r>
    </w:p>
    <w:p>
      <w:pPr>
        <w:spacing w:after="0" w:line="178" w:lineRule="exact"/>
        <w:rPr>
          <w:sz w:val="20"/>
          <w:szCs w:val="20"/>
          <w:color w:val="auto"/>
        </w:rPr>
      </w:pPr>
    </w:p>
    <w:p>
      <w:pPr>
        <w:sectPr>
          <w:pgSz w:w="11900" w:h="16838" w:orient="portrait"/>
          <w:cols w:equalWidth="0" w:num="2">
            <w:col w:w="4900" w:space="720"/>
            <w:col w:w="5600"/>
          </w:cols>
          <w:pgMar w:left="320" w:top="368" w:right="359" w:bottom="1440" w:gutter="0" w:footer="0" w:header="0"/>
        </w:sectPr>
      </w:pPr>
    </w:p>
    <w:p>
      <w:pPr>
        <w:ind w:left="5620"/>
        <w:spacing w:after="0"/>
        <w:rPr>
          <w:sz w:val="20"/>
          <w:szCs w:val="20"/>
          <w:color w:val="auto"/>
        </w:rPr>
      </w:pPr>
      <w:r>
        <w:rPr>
          <w:rFonts w:ascii="Arial" w:cs="Arial" w:eastAsia="Arial" w:hAnsi="Arial"/>
          <w:sz w:val="16"/>
          <w:szCs w:val="16"/>
          <w:color w:val="auto"/>
        </w:rPr>
        <w:t>Amendment of Our Partnership Agreement” and “—Voting Rights of Series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Preferred Units.”</w:t>
      </w:r>
    </w:p>
    <w:p>
      <w:pPr>
        <w:sectPr>
          <w:pgSz w:w="11900" w:h="16838" w:orient="portrait"/>
          <w:cols w:equalWidth="0" w:num="1">
            <w:col w:w="11220"/>
          </w:cols>
          <w:pgMar w:left="320" w:top="368" w:right="359" w:bottom="1440" w:gutter="0" w:footer="0" w:header="0"/>
          <w:type w:val="continuous"/>
        </w:sect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Unit majority in certain circumstances, and if such merger or sale would materially adversely affect any of the rights, preference and privileges of the Series A Preferred Units, the affirmative vote of 66 2/3% of the Series A preferred units. Please read “—Merger, Sale or Other Disposition of Assets.”</w:t>
      </w:r>
    </w:p>
    <w:p>
      <w:pPr>
        <w:spacing w:after="0" w:line="157" w:lineRule="exact"/>
        <w:rPr>
          <w:sz w:val="20"/>
          <w:szCs w:val="20"/>
          <w:color w:val="auto"/>
        </w:rPr>
      </w:pPr>
    </w:p>
    <w:p>
      <w:pPr>
        <w:sectPr>
          <w:pgSz w:w="11900" w:h="16838" w:orient="portrait"/>
          <w:cols w:equalWidth="0" w:num="2">
            <w:col w:w="5460" w:space="16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Dissolution of our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 majority. Please read “—Termination and Dissolution.”</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Continuation of our business upon dissolution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Unit majority. Please read “—Termination and Dissolution.”</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Withdrawal of our general partner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Under most circumstances, the approval of a majority of the common units, excluding common units held by our general partner and its affiliates, is required for the withdrawal of our general partner prior to December 31, 2022 in a manner that would cause a dissolution of our partnership. Please read “—Withdrawal or Removal of Our General Partner.”</w:t>
      </w:r>
    </w:p>
    <w:p>
      <w:pPr>
        <w:spacing w:after="0" w:line="161"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Not less than 66 2/3% of the outstanding common units, voting as a single class, including units held by our general partner and its affiliates. Please read “—Withdrawal or Removal of Our General Partner.”</w:t>
      </w:r>
    </w:p>
    <w:p>
      <w:pPr>
        <w:spacing w:after="0" w:line="165"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Transfer of our general partner interest</w:t>
      </w:r>
    </w:p>
    <w:p>
      <w:pPr>
        <w:spacing w:after="0" w:line="20" w:lineRule="exact"/>
        <w:rPr>
          <w:sz w:val="20"/>
          <w:szCs w:val="20"/>
          <w:color w:val="auto"/>
        </w:rPr>
      </w:pPr>
      <w:r>
        <w:rPr>
          <w:sz w:val="20"/>
          <w:szCs w:val="20"/>
          <w:color w:val="auto"/>
        </w:rPr>
        <w:br w:type="column"/>
      </w:r>
    </w:p>
    <w:p>
      <w:pPr>
        <w:ind w:right="60"/>
        <w:spacing w:after="0" w:line="290" w:lineRule="auto"/>
        <w:rPr>
          <w:sz w:val="20"/>
          <w:szCs w:val="20"/>
          <w:color w:val="auto"/>
        </w:rPr>
      </w:pPr>
      <w:r>
        <w:rPr>
          <w:rFonts w:ascii="Arial" w:cs="Arial" w:eastAsia="Arial" w:hAnsi="Arial"/>
          <w:sz w:val="16"/>
          <w:szCs w:val="16"/>
          <w:color w:val="auto"/>
        </w:rPr>
        <w:t>Our general partner may transfer all, but not less than all, of its general partner interest in us without a vote of our unitholders to an affiliate or another person in connection with its merger or consolidation with or into, or sale of all or substantially all of its assets to, such person. The approval of a majority of the outstanding common units, excluding common units held by our general partner and its affiliates, is required in other circumstances for a transfer of the general partner interest to a third party prior to December 31, 2022. Please read “—Transfer of General Partner Interest.”</w:t>
      </w:r>
    </w:p>
    <w:p>
      <w:pPr>
        <w:spacing w:after="0" w:line="165"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Transfer of ownership interests in our general partner</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No approval required at any time. Please read “—Transfer of Ownership Interests in Our General Partner.”</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 of Series A Preferred Units.</w:t>
      </w:r>
    </w:p>
    <w:p>
      <w:pPr>
        <w:spacing w:after="0" w:line="225" w:lineRule="exact"/>
        <w:rPr>
          <w:sz w:val="20"/>
          <w:szCs w:val="20"/>
          <w:color w:val="auto"/>
        </w:rPr>
      </w:pPr>
    </w:p>
    <w:p>
      <w:pPr>
        <w:ind w:right="280" w:firstLine="864"/>
        <w:spacing w:after="0" w:line="263" w:lineRule="auto"/>
        <w:rPr>
          <w:sz w:val="20"/>
          <w:szCs w:val="20"/>
          <w:color w:val="auto"/>
        </w:rPr>
      </w:pPr>
      <w:r>
        <w:rPr>
          <w:rFonts w:ascii="Arial" w:cs="Arial" w:eastAsia="Arial" w:hAnsi="Arial"/>
          <w:sz w:val="18"/>
          <w:szCs w:val="18"/>
          <w:color w:val="auto"/>
        </w:rPr>
        <w:t>The affirmative vote of 66 2/3% of the outstanding Series A preferred units, voting as a separate class, is required for us to amend our partnership in a way that would have a material adverse effect on the existing preferences, rights, powers, duties or obligations of the Series A preferred units.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72" w:name="page173"/>
    <w:bookmarkEnd w:id="172"/>
    <w:p>
      <w:pPr>
        <w:ind w:right="340" w:firstLine="864"/>
        <w:spacing w:after="0" w:line="342" w:lineRule="auto"/>
        <w:rPr>
          <w:sz w:val="20"/>
          <w:szCs w:val="20"/>
          <w:color w:val="auto"/>
        </w:rPr>
      </w:pPr>
      <w:r>
        <w:rPr>
          <w:rFonts w:ascii="Arial" w:cs="Arial" w:eastAsia="Arial" w:hAnsi="Arial"/>
          <w:sz w:val="16"/>
          <w:szCs w:val="16"/>
          <w:color w:val="auto"/>
        </w:rPr>
        <w:t>The affirmative vote of 66 2/3% of the outstanding Series A preferred units, voting as a class together with holders of any other Parity Securities established after the Series A preferred units and upon which like voting rights have been conferred and are exercisable, is required for us to:</w:t>
      </w:r>
    </w:p>
    <w:p>
      <w:pPr>
        <w:spacing w:after="0" w:line="124" w:lineRule="exact"/>
        <w:rPr>
          <w:sz w:val="20"/>
          <w:szCs w:val="20"/>
          <w:color w:val="auto"/>
        </w:rPr>
      </w:pPr>
    </w:p>
    <w:p>
      <w:pPr>
        <w:ind w:left="880" w:hanging="440"/>
        <w:spacing w:after="0"/>
        <w:tabs>
          <w:tab w:leader="none" w:pos="8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create or issue any Parity Securities if the cumulative distributions payable on then outstanding Series A preferred units are in arrears;</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create or issue any Parity Securities in excess of the Parity Basket (as defined below) if the cumulative distributions payable on then outstanding Series A preferred units are not in arrears;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create or issue any Senior Securities (as defined below);</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declare of pay any distributions to our common unitholders out of capital surplus (as defined in our partnership agreement); or</w:t>
      </w:r>
    </w:p>
    <w:p>
      <w:pPr>
        <w:spacing w:after="0" w:line="225"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take any action that would result, without regard to any notice requirement or applicable cure period, in an Event of Default (as defined in our Material Senior Indebtedness, as defined below) for failure to comply with any covenant in the Material Senior Indebtedness related to:</w:t>
      </w:r>
    </w:p>
    <w:p>
      <w:pPr>
        <w:spacing w:after="0" w:line="124" w:lineRule="exact"/>
        <w:rPr>
          <w:sz w:val="20"/>
          <w:szCs w:val="20"/>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restricted payments,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incurrence of indebtedness and issuance of preferred stock,</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incurrence of liens,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dividends and other payments affecting subsidiaries,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merger, consolidation or sale of assets,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transactions with affiliates,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designation of restricted and unrestricted subsidiaries,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additional subsidiary guarantors, or</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37"/>
        </w:numPr>
        <w:rPr>
          <w:rFonts w:ascii="Courier New" w:cs="Courier New" w:eastAsia="Courier New" w:hAnsi="Courier New"/>
          <w:sz w:val="18"/>
          <w:szCs w:val="18"/>
          <w:color w:val="auto"/>
        </w:rPr>
      </w:pPr>
      <w:r>
        <w:rPr>
          <w:rFonts w:ascii="Arial" w:cs="Arial" w:eastAsia="Arial" w:hAnsi="Arial"/>
          <w:sz w:val="18"/>
          <w:szCs w:val="18"/>
          <w:color w:val="auto"/>
        </w:rPr>
        <w:t>sale and leaseback transactions.</w:t>
      </w:r>
    </w:p>
    <w:p>
      <w:pPr>
        <w:spacing w:after="0" w:line="200" w:lineRule="exact"/>
        <w:rPr>
          <w:sz w:val="20"/>
          <w:szCs w:val="20"/>
          <w:color w:val="auto"/>
        </w:rPr>
      </w:pPr>
    </w:p>
    <w:p>
      <w:pPr>
        <w:spacing w:after="0" w:line="225" w:lineRule="exact"/>
        <w:rPr>
          <w:sz w:val="20"/>
          <w:szCs w:val="20"/>
          <w:color w:val="auto"/>
        </w:rPr>
      </w:pPr>
    </w:p>
    <w:p>
      <w:pPr>
        <w:ind w:right="220" w:firstLine="86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Senior Indebtedness</w:t>
      </w:r>
      <w:r>
        <w:rPr>
          <w:rFonts w:ascii="Arial" w:cs="Arial" w:eastAsia="Arial" w:hAnsi="Arial"/>
          <w:sz w:val="16"/>
          <w:szCs w:val="16"/>
          <w:color w:val="auto"/>
        </w:rPr>
        <w:t>” means (a) the indebtedness issued under that certain First Supplemental Indenture, dated as of July 15, 2014, by and among us, Summit Midstream Finance Corp., the guarantors party thereto and U.S. Bank National Association, (b) the indebtedness issued under that certain Second Supplemental Indenture, dated as of February 15, 2017, by and among us, Summit Midstream Finance Corp., the guarantors party thereto and U.S. Bank National Association and (c) any future indebtedness of us or Summit Midstream Finance Corp. in an amount greater than $200,000,000 issued under a note indenture (and not under any loan or other credit agreement with commercial banking institutions).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Basket</w:t>
      </w:r>
      <w:r>
        <w:rPr>
          <w:rFonts w:ascii="Arial" w:cs="Arial" w:eastAsia="Arial" w:hAnsi="Arial"/>
          <w:sz w:val="18"/>
          <w:szCs w:val="18"/>
          <w:color w:val="auto"/>
        </w:rPr>
        <w:t>” means:</w:t>
      </w:r>
    </w:p>
    <w:p>
      <w:pPr>
        <w:spacing w:after="0" w:line="225" w:lineRule="exact"/>
        <w:rPr>
          <w:sz w:val="20"/>
          <w:szCs w:val="20"/>
          <w:color w:val="auto"/>
        </w:rPr>
      </w:pPr>
    </w:p>
    <w:p>
      <w:pPr>
        <w:ind w:left="1300" w:hanging="442"/>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there is at least $100 million of outstanding Series A preferred units, the greater of (a) an aggregate $150 million of non-</w:t>
      </w:r>
    </w:p>
    <w:p>
      <w:pPr>
        <w:spacing w:after="0" w:line="23" w:lineRule="exact"/>
        <w:rPr>
          <w:rFonts w:ascii="Arial" w:cs="Arial" w:eastAsia="Arial" w:hAnsi="Arial"/>
          <w:sz w:val="18"/>
          <w:szCs w:val="18"/>
          <w:color w:val="auto"/>
        </w:rPr>
      </w:pPr>
    </w:p>
    <w:p>
      <w:pPr>
        <w:ind w:left="1300" w:right="40"/>
        <w:spacing w:after="0" w:line="302" w:lineRule="auto"/>
        <w:rPr>
          <w:rFonts w:ascii="Arial" w:cs="Arial" w:eastAsia="Arial" w:hAnsi="Arial"/>
          <w:sz w:val="18"/>
          <w:szCs w:val="18"/>
          <w:color w:val="auto"/>
        </w:rPr>
      </w:pPr>
      <w:r>
        <w:rPr>
          <w:rFonts w:ascii="Arial" w:cs="Arial" w:eastAsia="Arial" w:hAnsi="Arial"/>
          <w:sz w:val="16"/>
          <w:szCs w:val="16"/>
          <w:color w:val="auto"/>
        </w:rPr>
        <w:t>convertible Parity Securities and (b) so long as the market capitalization of our common units is at least $1.5 billion, an aggregate amount of Series A preferred units or other non-convertible Parity Securities such that, at the time of issuance, the aggregate amount of outstanding Series A preferred units and other Parity Securities does not exceed 15% of the value of all outstanding common units; or</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ind w:left="1300" w:right="560" w:hanging="442"/>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there is less than $100 million of outstanding Series A preferred units, an amount of Parity Securities as our general partner may determine.</w:t>
      </w:r>
    </w:p>
    <w:p>
      <w:pPr>
        <w:spacing w:after="0" w:line="170" w:lineRule="exact"/>
        <w:rPr>
          <w:sz w:val="20"/>
          <w:szCs w:val="20"/>
          <w:color w:val="auto"/>
        </w:rPr>
      </w:pPr>
    </w:p>
    <w:p>
      <w:pPr>
        <w:jc w:val="both"/>
        <w:ind w:right="340"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Securities</w:t>
      </w:r>
      <w:r>
        <w:rPr>
          <w:rFonts w:ascii="Arial" w:cs="Arial" w:eastAsia="Arial" w:hAnsi="Arial"/>
          <w:sz w:val="18"/>
          <w:szCs w:val="18"/>
          <w:color w:val="auto"/>
        </w:rPr>
        <w:t>” means any class or series of partnership interests or other equity securities established after the original issue date of the Series A preferred units that is not expressly made senior or subordinated to the Series A preferred units as to the payment of distributions and amounts payable on a liquidation event.</w:t>
      </w:r>
    </w:p>
    <w:p>
      <w:pPr>
        <w:spacing w:after="0" w:line="184"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Securities</w:t>
      </w:r>
      <w:r>
        <w:rPr>
          <w:rFonts w:ascii="Arial" w:cs="Arial" w:eastAsia="Arial" w:hAnsi="Arial"/>
          <w:sz w:val="18"/>
          <w:szCs w:val="18"/>
          <w:color w:val="auto"/>
        </w:rPr>
        <w:t>” means any class or series of partnership interests or other equity securities established after the original issue date of the Series A preferred units that is expressly made senior to the Series A preferred units as to the payment of distributions and amounts payable on a liquidation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If we dissolve in accordance with our partnership agreement, we will sell or otherwise dispose of our assets in a process called liquidation. We will first apply the proceeds of liquidation to the payment of our creditors. We will distribute any remaining proceeds to the unitholders, in accordance with their capital account balances, as adjusted to reflect any gain or loss upon the sale or other disposition of our assets in liquidation; provided, that any accumulated and unpaid distributions and the applicable liquidation preference on our Series A preferred units shall be distributed with respect to our Series A preferred units (up to the positive balance in the associated capital accounts), prior to any distributions with respect to our common units or other junior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Revised Uniform Limited Partnership Act (the “Delaware Act”) and that it otherwise acts in conformity with the provisions of our partnership agreement, its liability under the Delaware Act will be limited, subject to possible exceptions, to the amount of capital it is obligated to contribute to us for its common units plus its share of any undistributed profits and assets. If it were determined, however, that the right of, or exercise of the right by, the limited partners as a group:</w:t>
      </w:r>
    </w:p>
    <w:p>
      <w:pPr>
        <w:spacing w:after="0" w:line="157" w:lineRule="exact"/>
        <w:rPr>
          <w:sz w:val="20"/>
          <w:szCs w:val="20"/>
          <w:color w:val="auto"/>
        </w:rPr>
      </w:pPr>
    </w:p>
    <w:p>
      <w:pPr>
        <w:ind w:left="1300" w:hanging="442"/>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the limited partners could be held personally liable for our obligations under the laws of Delaware, to the same extent as our general partner. This liability would extend to persons who transact business with us who reasonably believe that a limited partner is a general partner. Neither our partnership agreement nor the Delaware Act specifically provides for legal recourse against our general partner if a limited partner were to lose limited liability through any fault of our general partner. While this does not mean that a limited partner could not seek legal recourse, we know of no precedent for such a claim in Delaware case law.</w:t>
      </w:r>
    </w:p>
    <w:p>
      <w:pPr>
        <w:spacing w:after="0" w:line="16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except that the fair value of property that is subject to a liability for which the recourse of creditors is limited is included in the assets of the limited partnership only to the extent that the fair value of that property exceeds that liability.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4" w:name="page175"/>
    <w:bookmarkEnd w:id="174"/>
    <w:p>
      <w:pPr>
        <w:jc w:val="both"/>
        <w:spacing w:after="0" w:line="342" w:lineRule="auto"/>
        <w:rPr>
          <w:sz w:val="20"/>
          <w:szCs w:val="20"/>
          <w:color w:val="auto"/>
        </w:rPr>
      </w:pPr>
      <w:r>
        <w:rPr>
          <w:rFonts w:ascii="Arial" w:cs="Arial" w:eastAsia="Arial" w:hAnsi="Arial"/>
          <w:sz w:val="16"/>
          <w:szCs w:val="16"/>
          <w:color w:val="auto"/>
        </w:rPr>
        <w:t>substituted limited partner of a limited partnership is liable for the obligations of its assignor to make contributions to the partnership, except that such person is not obligated for liabilities unknown to it at the time it became a limited partner and that could not be ascertained from the partnership agreement.</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subsidiaries conduct business in nine states and we may have subsidiaries that conduct business in other states in the future. Maintenance of our limited liability as a member of our primary operating subsidiary, Summit Holdings, which we refer to as our “operating company,” may require compliance with legal requirements in the jurisdictions in which the operating company conducts business, including qualifying our subsidiaries to do business there.</w:t>
      </w:r>
    </w:p>
    <w:p>
      <w:pPr>
        <w:spacing w:after="0" w:line="18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Limitations on the liability of members or limited partners for the obligations of a limited liability company or limited partnership have not been clearly established in many jurisdictions. If, by virtue of our ownership interest in our operating company or otherwise, it were determined that we were conducting business in any state without compliance with the applicable limited partnership or limited liability company statute, or that the right or exercise of the right by the limited partners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limited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Partnership Interests</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partnership agreement authorizes us to issue an unlimited number of additional partnership interests for the consideration and on the terms and conditions determined by our general partner without the approval of our limited partners, other than current holders of Series A preferred units in certain circumstances. Please read “—Voting Rights—Voting Rights of Series A Preferred Units.”</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common units, preferred units, warrants, rights or other partnership interests. Holders of any additional common units we issue will be entitled to share equally with the then-existing holders of common units in our distributions of available cash. In addition, the issuance of additional common units, preferred units, warrants, rights or other partnership interests may dilute the value of the interests of the then-existing holders of common units in our net assets.</w:t>
      </w:r>
    </w:p>
    <w:p>
      <w:pPr>
        <w:spacing w:after="0" w:line="18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In accordance with Delaware law and the provisions of our partnership agreement, subject to the voting rights of the Series A preferred units, we may also issue additional partnership interests (such as preferred units, warrants or rights) that, as determined by our general partner, may have rights to distributions or special voting rights to which the common units are not entitled. In addition, subject to the voting rights of the Series A preferred units, our partnership agreement does not prohibit our subsidiaries from issuing equity securities, which may effectively rank senior to the common units.</w:t>
      </w:r>
    </w:p>
    <w:p>
      <w:pPr>
        <w:spacing w:after="0" w:line="15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partnership interests whenever, and on the same terms that, we issue those interests to persons other than our general partner and its affiliates, to the extent necessary to maintain the percentage interest of the general partner and its affiliates, including such interest represented by common units, that existed immediately prior to each issuance. The holders of our units do not have preemptive rights under our partnership agreement to acquire additional units or other partnership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Partnership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Amendments to our partnership agreement may be proposed only by our general partner. However, our general partner has no duty or obligation to propose any amendment and may decline to do so free of any duty or obligation whatsoever to us or our unitholders, including any duty to act in the best interests of our partnership or our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5" w:name="page176"/>
    <w:bookmarkEnd w:id="175"/>
    <w:p>
      <w:pPr>
        <w:jc w:val="both"/>
        <w:spacing w:after="0" w:line="275" w:lineRule="auto"/>
        <w:rPr>
          <w:sz w:val="20"/>
          <w:szCs w:val="20"/>
          <w:color w:val="auto"/>
        </w:rPr>
      </w:pPr>
      <w:r>
        <w:rPr>
          <w:rFonts w:ascii="Arial" w:cs="Arial" w:eastAsia="Arial" w:hAnsi="Arial"/>
          <w:sz w:val="17"/>
          <w:szCs w:val="17"/>
          <w:color w:val="auto"/>
        </w:rPr>
        <w:t>unitholders, other than the implied contractual covenants of good faith and fair dealing. In order to adopt a proposed amendment, other than the amendments discussed below, our general partner must seek written approval of the holders of the number of units required to approve the amendment or call a meeting of the limited partners to consider and vote upon the proposed amendment. Except as described below, an amendment must be approved by a unit majority. In addition, any amendment that materially adversely affects any of the preferences, rights, powers, duties or obligations of the Series A preferred units requires the approval of holders of 66 2/3% of the Series A preferred units, voting as a separate class.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amendment may be made that would:</w:t>
      </w:r>
    </w:p>
    <w:p>
      <w:pPr>
        <w:spacing w:after="0" w:line="225" w:lineRule="exact"/>
        <w:rPr>
          <w:sz w:val="20"/>
          <w:szCs w:val="20"/>
          <w:color w:val="auto"/>
        </w:rPr>
      </w:pPr>
    </w:p>
    <w:p>
      <w:pPr>
        <w:ind w:left="880" w:hanging="440"/>
        <w:spacing w:after="0" w:line="277"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its consent, unless approved by at least a majority of the type or class of limited partner interests so affected; or</w:t>
      </w:r>
    </w:p>
    <w:p>
      <w:pPr>
        <w:spacing w:after="0" w:line="170"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in its sole discretion.</w:t>
      </w:r>
    </w:p>
    <w:p>
      <w:pPr>
        <w:spacing w:after="0" w:line="184"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The provision of our partnership agreement preventing the amendments having the effects described in the clauses above can be amended upon the approval of the holders of at least 90.0% of the outstanding units, voting as a single class (including units owned by our general partner and its affiliates). As of December 31, 2019, our general partner and its affiliates beneficially owned approximately 54.8% of the outstanding common units.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Unitholder Approval.</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Subject to the voting rights of the Series A preferred units, our general partner may generally make amendments to our partnership agreement without the approval of any limited partner to reflect:</w:t>
      </w:r>
    </w:p>
    <w:p>
      <w:pPr>
        <w:spacing w:after="0" w:line="170" w:lineRule="exact"/>
        <w:rPr>
          <w:sz w:val="20"/>
          <w:szCs w:val="20"/>
          <w:color w:val="auto"/>
        </w:rPr>
      </w:pPr>
    </w:p>
    <w:p>
      <w:pPr>
        <w:ind w:left="880" w:hanging="440"/>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25"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for us to qualify or to continue our qualification as a limited partnership or a partnership in which the limited partners have limited liability under the laws of any state or to ensure that neither we, our operating company nor its subsidiaries will be treated as an association taxable as a corporation or otherwise taxed as an entity for federal income tax purposes;</w:t>
      </w:r>
    </w:p>
    <w:p>
      <w:pPr>
        <w:spacing w:after="0" w:line="186" w:lineRule="exact"/>
        <w:rPr>
          <w:rFonts w:ascii="Arial" w:cs="Arial" w:eastAsia="Arial" w:hAnsi="Arial"/>
          <w:sz w:val="18"/>
          <w:szCs w:val="18"/>
          <w:color w:val="auto"/>
        </w:rPr>
      </w:pPr>
    </w:p>
    <w:p>
      <w:pPr>
        <w:ind w:left="880" w:hanging="440"/>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25" w:lineRule="exact"/>
        <w:rPr>
          <w:rFonts w:ascii="Arial" w:cs="Arial" w:eastAsia="Arial" w:hAnsi="Arial"/>
          <w:sz w:val="18"/>
          <w:szCs w:val="18"/>
          <w:color w:val="auto"/>
        </w:rPr>
      </w:pPr>
    </w:p>
    <w:p>
      <w:pPr>
        <w:jc w:val="both"/>
        <w:ind w:left="880" w:hanging="440"/>
        <w:spacing w:after="0" w:line="279" w:lineRule="auto"/>
        <w:tabs>
          <w:tab w:leader="none" w:pos="8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 amendment that is necessary, in the opinion of our counsel, to prevent us or our general partner or its directors,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 by the United States Department of Labor;</w:t>
      </w:r>
    </w:p>
    <w:p>
      <w:pPr>
        <w:spacing w:after="0" w:line="17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in connection with the authorization or issuance of additional partnership interests or rights to acquire partnership interests;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6" w:name="page177"/>
    <w:bookmarkEnd w:id="176"/>
    <w:p>
      <w:pPr>
        <w:ind w:left="880" w:right="20" w:hanging="440"/>
        <w:spacing w:after="0" w:line="277" w:lineRule="auto"/>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partnership agreement;</w:t>
      </w:r>
    </w:p>
    <w:p>
      <w:pPr>
        <w:spacing w:after="0" w:line="170"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amendment that our general partner determines to be necessary or appropriate for the formation by us of, or our investment in, any corporation, partnership, joint venture, limited liability company or other entity, as otherwise permitted by our partnership agreement;</w:t>
      </w:r>
    </w:p>
    <w:p>
      <w:pPr>
        <w:spacing w:after="0" w:line="146"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mergers with, conveyances to or conversions into another limited liability entity that is newly formed and has no assets, liabilities or operations at the time of the merger, conveyance or conversion other than those it receives by way of the merger, conveyance or conversion; or</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above.</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In addition, subject to the voting rights of the Series A preferred units, our general partner may make amendments to our partnership agreement, without the approval of any limited partner, if our general partner determines that those amendments:</w:t>
      </w:r>
    </w:p>
    <w:p>
      <w:pPr>
        <w:spacing w:after="0" w:line="170" w:lineRule="exact"/>
        <w:rPr>
          <w:sz w:val="20"/>
          <w:szCs w:val="20"/>
          <w:color w:val="auto"/>
        </w:rPr>
      </w:pPr>
    </w:p>
    <w:p>
      <w:pPr>
        <w:ind w:left="880" w:hanging="440"/>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do not adversely affect in any material respect the limited partners considered as a whole or any particular class of partnership interests as compared to other classes of partnership interests;</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units or to comply with any rule, regulation, guideline or requirement of any securities exchange on which the units are or will be listed for trading;</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units under the provisions of our partnership agreement; or</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required to effect the intent expressed in a prospectus or the intent of the provisions of our partnership agreement or are otherwise contemplated by our partnership agreement.</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affirmative vote of 66 2/3% of the Series A preferred units, voting separately as a class, is necessary on any manner (including a merger, consolidation or business combination) that would materially adversely affect any of the existing preferences, rights, powers, duties or obligations of the Series A preferred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Counsel and Limited Partner Approval.</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will not be required to obtain an opinion of counsel that an amendment will not result in a loss of limited liability to the limited partners or result in our being treated as an entity for federal income tax purposes in connection with any of the amendments described above under “—No Unitholder Approval.” No other amendments to our partnership agreement will become effective without the approval of holders of at least 90.0% of the outstanding units voting as a single class unless we first obtain an opinion of counsel to the effect that the amendment will not affect the limited liability under applicable law of any of our limited partners.</w:t>
      </w:r>
    </w:p>
    <w:p>
      <w:pPr>
        <w:spacing w:after="0" w:line="188"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preferences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percentage sought to be reduced. Any amendment that would increase the percentage of units required to remove our general partner must be approved by the affirmative vote of limited partners whose aggregate outstanding units constitute not less than 90.0% of outstanding units. Any amendment that would increase the percentage of units required to call a meeting of unitholders must be approved by the affirmative vote of unitholders whose aggregate outstanding units constitute at least a majority of the outstanding units.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2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A merger or consolidation of us requires the prior consent of our general partner. However, our general partner has no duty or obligation to consent to any merger or consolidation and may decline to do so free of any duty or obligation whatsoever to us or the limited partners, including any duty to act in the best interests of our partnership or our unitholders, other than the implied contractual covenant of good faith and fair dealing.</w:t>
      </w:r>
    </w:p>
    <w:p>
      <w:pPr>
        <w:spacing w:after="0" w:line="16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In addition, our partnership agreement generally prohibits our general partner, without the prior approval of the holders of a unit majority, from causing us to, among other things, sell, exchange or otherwise dispose of all or substantially all of our and our subsidiaries’ assets in a single transaction or a series of related transactions, including by way of merger, consolidation, other combination or sale of ownership interests of our subsidiaries. Further, the affirmative vote of 66 2/3% of the Series A preferred units, voting separately as a class, is necessary on any matter (including a merger, consolidation or business combination) that would materially adversely affect any of the existing preferences, rights, powers, duties or obligations of the Series A preferred units. Please read “—Voting Rights—Voting Rights of Series A Preferred Units.” Our general partner may, however, mortgage, pledge, hypothecate, or grant a security interest in all or substantially all of our and our subsidiaries’ assets without that approval. Our general partner may also sell all or substantially all of our and our subsidiaries’ assets under a foreclosure or other realization upon those encumbrances without that approval. Finally, our general partner may consummate any merger without the prior approval of our unitholders if we are the surviving entity in the transaction, our general partner has received an opinion of counsel regarding limited liability and tax matters, the transaction would not result in a material amendment to the partnership agreement (other than an amendment that the general partner could adopt without the consent of the limited partners), each of our units will be an identical unit of our partnership following the transaction and the partnership interests to be issued do not exceed 20.0% of our outstanding partnership interests immediately prior to the transaction.</w:t>
      </w:r>
    </w:p>
    <w:p>
      <w:pPr>
        <w:spacing w:after="0" w:line="18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If the conditions specified in our partnership agreement are satisfied, our general partner may convert us or any of our subsidiaries into a new limited liability entity or merge us or any of our subsidiaries into, or convey all of our assets to, a newly formed limited liability entity, if the sole purpose of that conversion, merger or conveyance is to effect a mere change in our legal form into another limited liability entity, our general partner has received an opinion of counsel regarding limited liability and tax matters and the governing instruments of the new entity provide the limited partners and our general partner with the same rights and obligations as contained in our partnership agreement. Our unitholders are not entitled to dissenters’ rights of appraisal under our partnership agreement or applicable Delaware law in the event of a conversion, merger or consolidation, a sale of substantially all of our assets or any other similar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229"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shall be admitted as a limited partner with respect to the common units transferred when such transfer and admission are reflected in our books and records. Each transferee:</w:t>
      </w:r>
    </w:p>
    <w:p>
      <w:pPr>
        <w:spacing w:after="0" w:line="101" w:lineRule="exact"/>
        <w:rPr>
          <w:sz w:val="20"/>
          <w:szCs w:val="20"/>
          <w:color w:val="auto"/>
        </w:rPr>
      </w:pPr>
    </w:p>
    <w:p>
      <w:pPr>
        <w:ind w:left="880" w:hanging="440"/>
        <w:spacing w:after="0"/>
        <w:tabs>
          <w:tab w:leader="none" w:pos="88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automatically agrees to be bound by the terms and conditions of, and is deemed to have executed, our partnership agreement;</w:t>
      </w:r>
    </w:p>
    <w:p>
      <w:pPr>
        <w:spacing w:after="0" w:line="217" w:lineRule="exact"/>
        <w:rPr>
          <w:rFonts w:ascii="Arial" w:cs="Arial" w:eastAsia="Arial" w:hAnsi="Arial"/>
          <w:sz w:val="22"/>
          <w:szCs w:val="22"/>
          <w:color w:val="auto"/>
        </w:rPr>
      </w:pPr>
    </w:p>
    <w:p>
      <w:pPr>
        <w:ind w:left="880" w:hanging="440"/>
        <w:spacing w:after="0"/>
        <w:tabs>
          <w:tab w:leader="none" w:pos="880" w:val="left"/>
        </w:tabs>
        <w:numPr>
          <w:ilvl w:val="0"/>
          <w:numId w:val="145"/>
        </w:numPr>
        <w:rPr>
          <w:rFonts w:ascii="Arial" w:cs="Arial" w:eastAsia="Arial" w:hAnsi="Arial"/>
          <w:sz w:val="21"/>
          <w:szCs w:val="21"/>
          <w:color w:val="auto"/>
        </w:rPr>
      </w:pPr>
      <w:r>
        <w:rPr>
          <w:rFonts w:ascii="Arial" w:cs="Arial" w:eastAsia="Arial" w:hAnsi="Arial"/>
          <w:sz w:val="17"/>
          <w:szCs w:val="17"/>
          <w:color w:val="auto"/>
        </w:rPr>
        <w:t>represents and warrants that the transferee has the right, power, authority and capacity to enter into our partnership agreement; and</w:t>
      </w:r>
    </w:p>
    <w:p>
      <w:pPr>
        <w:spacing w:after="0" w:line="206" w:lineRule="exact"/>
        <w:rPr>
          <w:rFonts w:ascii="Arial" w:cs="Arial" w:eastAsia="Arial" w:hAnsi="Arial"/>
          <w:sz w:val="21"/>
          <w:szCs w:val="21"/>
          <w:color w:val="auto"/>
        </w:rPr>
      </w:pPr>
    </w:p>
    <w:p>
      <w:pPr>
        <w:ind w:left="880" w:hanging="440"/>
        <w:spacing w:after="0"/>
        <w:tabs>
          <w:tab w:leader="none" w:pos="88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gives the consents, waivers and approvals contained in our partnership agreement.</w:t>
      </w:r>
    </w:p>
    <w:p>
      <w:pPr>
        <w:spacing w:after="0" w:line="22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25"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8" w:name="page179"/>
    <w:bookmarkEnd w:id="178"/>
    <w:p>
      <w:pPr>
        <w:ind w:left="880"/>
        <w:spacing w:after="0"/>
        <w:rPr>
          <w:sz w:val="20"/>
          <w:szCs w:val="20"/>
          <w:color w:val="auto"/>
        </w:rPr>
      </w:pPr>
      <w:r>
        <w:rPr>
          <w:rFonts w:ascii="Arial" w:cs="Arial" w:eastAsia="Arial" w:hAnsi="Arial"/>
          <w:sz w:val="18"/>
          <w:szCs w:val="18"/>
          <w:color w:val="auto"/>
        </w:rPr>
        <w:t>Common units are securities and any transfers are subject to the laws governing the transfer of securities.</w:t>
      </w:r>
    </w:p>
    <w:p>
      <w:pPr>
        <w:spacing w:after="0" w:line="22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continue as a limited partnership until dissolved under our partnership agreement. We will dissolve upon:</w:t>
      </w:r>
    </w:p>
    <w:p>
      <w:pPr>
        <w:spacing w:after="0" w:line="225" w:lineRule="exact"/>
        <w:rPr>
          <w:sz w:val="20"/>
          <w:szCs w:val="20"/>
          <w:color w:val="auto"/>
        </w:rPr>
      </w:pPr>
    </w:p>
    <w:p>
      <w:pPr>
        <w:ind w:left="880" w:right="60" w:hanging="440"/>
        <w:spacing w:after="0" w:line="263" w:lineRule="auto"/>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its withdrawal or removal following the approval and admission of a successor;</w:t>
      </w:r>
    </w:p>
    <w:p>
      <w:pPr>
        <w:spacing w:after="0" w:line="399" w:lineRule="exact"/>
        <w:rPr>
          <w:rFonts w:ascii="Arial" w:cs="Arial" w:eastAsia="Arial" w:hAnsi="Arial"/>
          <w:sz w:val="18"/>
          <w:szCs w:val="18"/>
          <w:color w:val="auto"/>
        </w:rPr>
      </w:pPr>
    </w:p>
    <w:p>
      <w:pPr>
        <w:ind w:left="880" w:hanging="440"/>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the holders of units representing a unit majority;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hanging="440"/>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partnership;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hanging="440"/>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being no limited partners, unless we are continued without dissolution in accordance with the Delaware Act.</w:t>
      </w:r>
    </w:p>
    <w:p>
      <w:pPr>
        <w:spacing w:after="0" w:line="200" w:lineRule="exact"/>
        <w:rPr>
          <w:sz w:val="20"/>
          <w:szCs w:val="20"/>
          <w:color w:val="auto"/>
        </w:rPr>
      </w:pPr>
    </w:p>
    <w:p>
      <w:pPr>
        <w:spacing w:after="0" w:line="241" w:lineRule="exact"/>
        <w:rPr>
          <w:sz w:val="20"/>
          <w:szCs w:val="20"/>
          <w:color w:val="auto"/>
        </w:rPr>
      </w:pPr>
    </w:p>
    <w:p>
      <w:pPr>
        <w:ind w:right="220" w:firstLine="864"/>
        <w:spacing w:after="0" w:line="286" w:lineRule="auto"/>
        <w:rPr>
          <w:sz w:val="20"/>
          <w:szCs w:val="20"/>
          <w:color w:val="auto"/>
        </w:rPr>
      </w:pPr>
      <w:r>
        <w:rPr>
          <w:rFonts w:ascii="Arial" w:cs="Arial" w:eastAsia="Arial" w:hAnsi="Arial"/>
          <w:sz w:val="17"/>
          <w:szCs w:val="17"/>
          <w:color w:val="auto"/>
        </w:rPr>
        <w:t>Upon a dissolution under the first clause above, the holders of a unit majority may also elect, within specific time limitations, to continue our business on the same terms and conditions described in our partnership agreement and appoint as a successor general partner an entity approved by the holders of units representing a unit majority, subject to our receipt of an opinion of counsel to the effect that:</w:t>
      </w:r>
    </w:p>
    <w:p>
      <w:pPr>
        <w:spacing w:after="0" w:line="165" w:lineRule="exact"/>
        <w:rPr>
          <w:sz w:val="20"/>
          <w:szCs w:val="20"/>
          <w:color w:val="auto"/>
        </w:rPr>
      </w:pPr>
    </w:p>
    <w:p>
      <w:pPr>
        <w:ind w:left="880" w:hanging="440"/>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action would not result in the loss of limited liability of any limited partner;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neither we nor any of our subsidiaries would be treated as an association taxable as a corporation or otherwise be taxable as an entity for federal income tax purposes upon the exercise of that right to continue (to the extent not already so treated or taxed).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2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Upon our dissolution, unless we are continued as a limited partnership, the liquidator authorized to wind up our affairs will, acting with all of the powers of our general partner that are necessary or appropriate, liquidate our assets and apply the proceeds of the liquidation as described in “— Distributions of Cash Upon Liquidation.” The liquidator may defer liquidation or distribution of our assets for a reasonable period of time if it determines that an immediate sale or distribution would be impractical or would cause undue loss to our partners. The liquidator may distribute our assets, in whole or in part, in kind if it determines that a sale would be impractical or would cause undue loss to the partners.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29"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December 31, 2022 without obtaining the approval of the holders of at least a majority of the outstanding common units, excluding common units held by the general partner and its affiliates, and furnishing an opinion of counsel regarding limited liability and tax matters. On or after December 31, 2022, our general partner may withdraw as general partner without first obtaining approval of any unitholder by giving at least 90 days’ written notice, and that withdrawal will not constitute a violation of our partnership agreement. Notwithstanding the information above, our general partner may withdraw without unitholder approval upon 90 days’ notice to the limited partners if at least 50.0% of the outstanding units are held or controlled by one person and its affiliates, other than our general partner and its affiliates. In addition, our partnership agreement permits our general partner in some instances to sell or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otherwise transfer all of its general partner interest in us without the approval of the unitholders. Please read “—Transfer of General Partner Interest.”</w:t>
      </w:r>
    </w:p>
    <w:p>
      <w:pPr>
        <w:spacing w:after="0" w:line="23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unit majority may select a successor to that withdrawing general partner. If a successor is not elected, or is elected but an opinion of counsel regarding limited liability and tax matters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all outstanding common units, voting together as a single class, including units held by our general partner and its affiliates, and we receive an opinion of counsel regarding limited liability and tax matters. Any removal of our general partner is also subject to the approval of a successor general partner by the vote of the holders of a majority of the outstanding common units. The ownership of more than 33 1/3% of the outstanding common units by our general partner and its affiliates gives them the ability to prevent our general partner’s removal.</w:t>
      </w:r>
    </w:p>
    <w:p>
      <w:pPr>
        <w:spacing w:after="0" w:line="18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or withdrawal of our general partner where that withdrawal does not violate our partnership agreement our general partner will have the right to convert its general partner interest into common units or receive cash in exchange for those interests based on the fair market value of those interests as of the effective date of its removal.</w:t>
      </w:r>
    </w:p>
    <w:p>
      <w:pPr>
        <w:spacing w:after="0" w:line="18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our partnership agreement, a successor general partner will have the option to purchase the general partner interest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9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If the option described above is not exercised by either the departing general partner or the successor general partner, the departing general partner’s general partner interest will automatically convert into common units equal to the fair market value of those interests as determined by an investment banking firm or other independent expert selected in the manner described in the preceding paragraph.</w:t>
      </w:r>
    </w:p>
    <w:p>
      <w:pPr>
        <w:spacing w:after="0" w:line="16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addition, we will be required to reimburse the departing general partner for all amounts due to it, including, without limitation, all employee-related liabilities, including severance liabilities, incurred in connection with the termination of any employees employed by the departing general partner or its affiliates for our benefit.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for transfer by our general partner of all, but not less than all, of its general partner interest to:</w:t>
      </w:r>
    </w:p>
    <w:p>
      <w:pPr>
        <w:spacing w:after="0" w:line="225" w:lineRule="exact"/>
        <w:rPr>
          <w:sz w:val="20"/>
          <w:szCs w:val="20"/>
          <w:color w:val="auto"/>
        </w:rPr>
      </w:pPr>
    </w:p>
    <w:p>
      <w:pPr>
        <w:ind w:left="1300" w:hanging="442"/>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2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such entity,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general partner may not transfer all or any of its general partner interest to another person prior to December 31, 2022 without the approval of the holders of at least a majority of the outstanding common units, excluding common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0" w:name="page181"/>
    <w:bookmarkEnd w:id="180"/>
    <w:p>
      <w:pPr>
        <w:jc w:val="both"/>
        <w:spacing w:after="0" w:line="263" w:lineRule="auto"/>
        <w:rPr>
          <w:sz w:val="20"/>
          <w:szCs w:val="20"/>
          <w:color w:val="auto"/>
        </w:rPr>
      </w:pPr>
      <w:r>
        <w:rPr>
          <w:rFonts w:ascii="Arial" w:cs="Arial" w:eastAsia="Arial" w:hAnsi="Arial"/>
          <w:sz w:val="18"/>
          <w:szCs w:val="18"/>
          <w:color w:val="auto"/>
        </w:rPr>
        <w:t>units held by our general partner and its affiliates. As a condition of this transfer, the transferee must, among other things, assume the rights and duties of our general partner, agree to be bound by the provisions of our partnership agreement and furnish an opinion of counsel regarding limited liability and tax matters.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general partner and its affiliates may, at any time, transfer common units to one or more persons, without unitholder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2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At any time, the owners of our general partner may sell or transfer all or part of their ownership interests in our general partner to an affiliate or a third party without the approval of our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29"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or otherwise change our management. Please read “—Withdrawal or Removal of Our General Partner” for a discussion of certain consequences of the removal of our general partner. If any person or group, other than our general partner and its affiliates, acquires beneficial ownership of 20.0% or more of any class of units, including our Series A preferred units, that person or group loses voting rights on all of its units. This loss of voting rights does not apply to any person or group that acquires the units directly from our general partner or its affiliates or any transferee of that person or group that is approved by our general partner or to any person or group who acquires the units with the prior approval of the board of directors of our general partner, or to any holder of Series A preferred units in connection with any vote, consent or approval of the holders of Series A preferred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If at any time our general partner and its affiliates own more than 80.0% of the then-issued and outstanding limited partner interests of any class (other than the Series A preferred units), our general partner will have the right, which it may assign in whole or in part to any of its affiliates or to us, to acquire all, but not less than all, of the remaining limited partner interests of the class held by unaffiliated persons as of a record date to be selected by our general partner, on at least 10, but not more than 60, days’ notice. The purchase price in the event of this purchase is the greater of:</w:t>
      </w:r>
    </w:p>
    <w:p>
      <w:pPr>
        <w:spacing w:after="0" w:line="171" w:lineRule="exact"/>
        <w:rPr>
          <w:sz w:val="20"/>
          <w:szCs w:val="20"/>
          <w:color w:val="auto"/>
        </w:rPr>
      </w:pPr>
    </w:p>
    <w:p>
      <w:pPr>
        <w:ind w:left="880" w:hanging="440"/>
        <w:spacing w:after="0" w:line="308"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highest price paid by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average of the daily closing prices of the partnership interests of such class for the 20 consecutive trading days immediately preceding the date three days before the date the notice is mailed.</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unitholder of the exercise of this call right are the same as a sale by that unitholder of his common units in the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Ineligible Holders</w:t>
      </w:r>
    </w:p>
    <w:p>
      <w:pPr>
        <w:spacing w:after="0" w:line="22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order to avoid any material adverse effect on the maximum applicable rates that can be charged to customers by our subsidiaries on assets that may be subject to rate regulation by the Federal Energy Regulatory Commission or an analogous regulatory body in the future, each transferee of partnership interests, upon becoming the record holder of such partnership interests, will automatically certify, and the general partner at any time can request such holder to re-certify:</w:t>
      </w:r>
    </w:p>
    <w:p>
      <w:pPr>
        <w:spacing w:after="0" w:line="187" w:lineRule="exact"/>
        <w:rPr>
          <w:sz w:val="20"/>
          <w:szCs w:val="20"/>
          <w:color w:val="auto"/>
        </w:rPr>
      </w:pPr>
    </w:p>
    <w:p>
      <w:pPr>
        <w:ind w:left="880" w:hanging="440"/>
        <w:spacing w:after="0"/>
        <w:tabs>
          <w:tab w:leader="none" w:pos="8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that the transferee or unitholder is an individual or an entity subject to United States federal income taxation on the income generated by us; or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1" w:name="page182"/>
    <w:bookmarkEnd w:id="181"/>
    <w:p>
      <w:pPr>
        <w:jc w:val="both"/>
        <w:ind w:left="880" w:hanging="440"/>
        <w:spacing w:after="0" w:line="263" w:lineRule="auto"/>
        <w:tabs>
          <w:tab w:leader="none" w:pos="8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if the transferee unitholder is an entity not subject to United States federal income taxation on the income generated by us, as in the case, for example, of a mutual fund taxed as a regulated investment company or a partnership, all the entity’s owners are subject to United States federal income taxation on the income generated by us.</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Furthermore, in order to avoid a substantial risk of cancellation or forfeiture of any property, including any governmental permit, endorsement or other authorization, in which we have an interest as the result of any federal, state or local law or regulation concerning the nationality, citizenship or other related status of any unitholder, our general partner may at any time request unitholders to certify as to, or provide other information with respect to, their nationality, citizenship or other related status.</w:t>
      </w:r>
    </w:p>
    <w:p>
      <w:pPr>
        <w:spacing w:after="0" w:line="18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certifications as to taxpayer status and nationality, citizenship or other related status can be changed in any manner our general partner determines is necessary or appropriate to implement its original purpose.</w:t>
      </w:r>
    </w:p>
    <w:p>
      <w:pPr>
        <w:spacing w:after="0" w:line="17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If a unitholder fails to furnish the certification or other requested information with 30 days or if our general partner determines, with the advice of counsel, upon review of such certification or other information that a unitholder does not meet the status set forth in the certification, we will have the right to redeem all of the units held by such unitholder at the average of the daily closing prices per limited partner interest of such class for the 20 consecutive trading days immediately prior to the date fixed for redemption.</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purchase price will be paid in cash or by delivery of a promissory note, as determined by our general partner. Any such promissory note will bear interest at the rate of 5.0% annually and be payable in three equal annual installments of principal and accrued interest, commencing one year after the redemption date. Further, the units will not be entitled to any allocations of income or loss, distributions or voting rights while held by such unitholder.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American Stock Transfer and Trust Company (“AST”) serves as the transfer agent, cash distribution paying agent and registrar for the common units. We will pay all fees charged by the transfer agent for transfers of common units except the following that must be paid by unitholders:</w:t>
      </w:r>
    </w:p>
    <w:p>
      <w:pPr>
        <w:spacing w:after="0" w:line="146" w:lineRule="exact"/>
        <w:rPr>
          <w:sz w:val="20"/>
          <w:szCs w:val="20"/>
          <w:color w:val="auto"/>
        </w:rPr>
      </w:pPr>
    </w:p>
    <w:p>
      <w:pPr>
        <w:ind w:left="880" w:hanging="440"/>
        <w:spacing w:after="0"/>
        <w:tabs>
          <w:tab w:leader="none" w:pos="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 in connection therewith;</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special charges for services requested by a common unitholder;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There will be no charge to unitholders for disbursements of our cash distributions. We will indemnify AST, its agents and each of their respective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cash distribution paying agent and registrar and its acceptance of the appointment. If no successor has been appointed and has accepted the appointment within 30 days after notice of the resignation or removal, our general partner may act as the transfer agent and registrar until a successor is appointed.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6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EXHIBIT 10.41</w:t>
      </w:r>
    </w:p>
    <w:p>
      <w:pPr>
        <w:spacing w:after="0" w:line="15"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40" w:lineRule="exact"/>
        <w:rPr>
          <w:sz w:val="20"/>
          <w:szCs w:val="20"/>
          <w:color w:val="auto"/>
        </w:rPr>
      </w:pPr>
    </w:p>
    <w:p>
      <w:pPr>
        <w:ind w:left="4" w:right="2420" w:firstLine="1267"/>
        <w:spacing w:after="0" w:line="276" w:lineRule="auto"/>
        <w:rPr>
          <w:sz w:val="20"/>
          <w:szCs w:val="20"/>
          <w:color w:val="auto"/>
        </w:rPr>
      </w:pPr>
      <w:r>
        <w:rPr>
          <w:rFonts w:ascii="Arial" w:cs="Arial" w:eastAsia="Arial" w:hAnsi="Arial"/>
          <w:sz w:val="19"/>
          <w:szCs w:val="19"/>
          <w:color w:val="auto"/>
        </w:rPr>
        <w:t>This Amended and Restated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effective </w:t>
      </w:r>
      <w:r>
        <w:rPr>
          <w:rFonts w:ascii="Arial" w:cs="Arial" w:eastAsia="Arial" w:hAnsi="Arial"/>
          <w:sz w:val="19"/>
          <w:szCs w:val="19"/>
          <w:b w:val="1"/>
          <w:bCs w:val="1"/>
          <w:color w:val="auto"/>
        </w:rPr>
        <w:t xml:space="preserve">September 1, 2020 </w:t>
      </w:r>
      <w:r>
        <w:rPr>
          <w:rFonts w:ascii="Arial" w:cs="Arial" w:eastAsia="Arial" w:hAnsi="Arial"/>
          <w:sz w:val="19"/>
          <w:szCs w:val="19"/>
          <w:color w:val="auto"/>
        </w:rPr>
        <w:t>(the “Effective Date”), is made by and between</w:t>
      </w:r>
      <w:r>
        <w:rPr>
          <w:rFonts w:ascii="Arial" w:cs="Arial" w:eastAsia="Arial" w:hAnsi="Arial"/>
          <w:sz w:val="19"/>
          <w:szCs w:val="19"/>
          <w:b w:val="1"/>
          <w:bCs w:val="1"/>
          <w:color w:val="auto"/>
        </w:rPr>
        <w:t xml:space="preserve"> M</w:t>
      </w:r>
      <w:r>
        <w:rPr>
          <w:rFonts w:ascii="Arial" w:cs="Arial" w:eastAsia="Arial" w:hAnsi="Arial"/>
          <w:sz w:val="19"/>
          <w:szCs w:val="19"/>
          <w:b w:val="1"/>
          <w:bCs w:val="1"/>
          <w:u w:val="single" w:color="auto"/>
          <w:color w:val="auto"/>
        </w:rPr>
        <w:t>arc Stratton</w:t>
      </w:r>
      <w:r>
        <w:rPr>
          <w:rFonts w:ascii="Arial" w:cs="Arial" w:eastAsia="Arial" w:hAnsi="Arial"/>
          <w:sz w:val="19"/>
          <w:szCs w:val="19"/>
          <w:b w:val="1"/>
          <w:bCs w:val="1"/>
          <w:color w:val="auto"/>
        </w:rPr>
        <w:t xml:space="preserve"> </w:t>
      </w:r>
      <w:r>
        <w:rPr>
          <w:rFonts w:ascii="Arial" w:cs="Arial" w:eastAsia="Arial" w:hAnsi="Arial"/>
          <w:sz w:val="19"/>
          <w:szCs w:val="19"/>
          <w:color w:val="auto"/>
        </w:rPr>
        <w:t>(the</w:t>
      </w:r>
    </w:p>
    <w:p>
      <w:pPr>
        <w:spacing w:after="0" w:line="1" w:lineRule="exact"/>
        <w:rPr>
          <w:sz w:val="20"/>
          <w:szCs w:val="20"/>
          <w:color w:val="auto"/>
        </w:rPr>
      </w:pPr>
    </w:p>
    <w:p>
      <w:pPr>
        <w:ind w:left="4" w:right="720"/>
        <w:spacing w:after="0"/>
        <w:rPr>
          <w:sz w:val="20"/>
          <w:szCs w:val="20"/>
          <w:color w:val="auto"/>
        </w:rPr>
      </w:pPr>
      <w:r>
        <w:rPr>
          <w:rFonts w:ascii="Arial" w:cs="Arial" w:eastAsia="Arial" w:hAnsi="Arial"/>
          <w:sz w:val="22"/>
          <w:szCs w:val="22"/>
          <w:color w:val="auto"/>
        </w:rPr>
        <w:t>“Executive”) and Summit Operating Services Company, LLC (together with any of its subsidiaries and affiliates as may employ the Executive from time to time, and any successor(s) thereto, the “C</w:t>
      </w:r>
      <w:r>
        <w:rPr>
          <w:rFonts w:ascii="Arial" w:cs="Arial" w:eastAsia="Arial" w:hAnsi="Arial"/>
          <w:sz w:val="22"/>
          <w:szCs w:val="22"/>
          <w:u w:val="single" w:color="auto"/>
          <w:color w:val="auto"/>
        </w:rPr>
        <w:t>ompany</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16"/>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left="1204" w:right="200" w:hanging="354"/>
        <w:spacing w:after="0" w:line="256" w:lineRule="auto"/>
        <w:tabs>
          <w:tab w:leader="none" w:pos="12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The Company and the Executive are parties to an employment agreement, dated </w:t>
      </w:r>
      <w:r>
        <w:rPr>
          <w:rFonts w:ascii="Arial" w:cs="Arial" w:eastAsia="Arial" w:hAnsi="Arial"/>
          <w:sz w:val="22"/>
          <w:szCs w:val="22"/>
          <w:b w:val="1"/>
          <w:bCs w:val="1"/>
          <w:u w:val="single" w:color="auto"/>
          <w:color w:val="auto"/>
        </w:rPr>
        <w:t>January 1, 2019</w:t>
      </w:r>
      <w:r>
        <w:rPr>
          <w:rFonts w:ascii="Arial" w:cs="Arial" w:eastAsia="Arial" w:hAnsi="Arial"/>
          <w:sz w:val="22"/>
          <w:szCs w:val="22"/>
          <w:color w:val="auto"/>
        </w:rPr>
        <w:t xml:space="preserve"> (the “Original Employment Agreement”).</w:t>
      </w:r>
    </w:p>
    <w:p>
      <w:pPr>
        <w:spacing w:after="0" w:line="168" w:lineRule="exact"/>
        <w:rPr>
          <w:rFonts w:ascii="Arial" w:cs="Arial" w:eastAsia="Arial" w:hAnsi="Arial"/>
          <w:sz w:val="22"/>
          <w:szCs w:val="22"/>
          <w:color w:val="auto"/>
        </w:rPr>
      </w:pPr>
    </w:p>
    <w:p>
      <w:pPr>
        <w:ind w:left="1944" w:hanging="1110"/>
        <w:spacing w:after="0"/>
        <w:tabs>
          <w:tab w:leader="none" w:pos="19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Company and the Executive desire to amend and restate the Original Employment Agreement in</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the form hereof.</w:t>
      </w:r>
    </w:p>
    <w:p>
      <w:pPr>
        <w:spacing w:after="0" w:line="188" w:lineRule="exact"/>
        <w:rPr>
          <w:rFonts w:ascii="Arial" w:cs="Arial" w:eastAsia="Arial" w:hAnsi="Arial"/>
          <w:sz w:val="19"/>
          <w:szCs w:val="19"/>
          <w:color w:val="auto"/>
        </w:rPr>
      </w:pPr>
    </w:p>
    <w:p>
      <w:pPr>
        <w:ind w:left="4" w:right="640" w:firstLine="830"/>
        <w:spacing w:after="0" w:line="250" w:lineRule="auto"/>
        <w:tabs>
          <w:tab w:leader="none" w:pos="19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Company desires to assure itself of the services of the Executive by engaging the Executive to perform services under the terms hereof.</w:t>
      </w:r>
    </w:p>
    <w:p>
      <w:pPr>
        <w:spacing w:after="0" w:line="174" w:lineRule="exact"/>
        <w:rPr>
          <w:rFonts w:ascii="Arial" w:cs="Arial" w:eastAsia="Arial" w:hAnsi="Arial"/>
          <w:sz w:val="22"/>
          <w:szCs w:val="22"/>
          <w:color w:val="auto"/>
        </w:rPr>
      </w:pPr>
    </w:p>
    <w:p>
      <w:pPr>
        <w:ind w:left="2004" w:hanging="1170"/>
        <w:spacing w:after="0"/>
        <w:tabs>
          <w:tab w:leader="none" w:pos="200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Executive desires to provide services to the Company on the terms herein provided.</w:t>
      </w:r>
    </w:p>
    <w:p>
      <w:pPr>
        <w:spacing w:after="0" w:line="186" w:lineRule="exact"/>
        <w:rPr>
          <w:rFonts w:ascii="Arial" w:cs="Arial" w:eastAsia="Arial" w:hAnsi="Arial"/>
          <w:sz w:val="22"/>
          <w:szCs w:val="22"/>
          <w:color w:val="auto"/>
        </w:rPr>
      </w:pPr>
    </w:p>
    <w:p>
      <w:pPr>
        <w:ind w:left="4804"/>
        <w:spacing w:after="0"/>
        <w:rPr>
          <w:rFonts w:ascii="Arial" w:cs="Arial" w:eastAsia="Arial" w:hAnsi="Arial"/>
          <w:sz w:val="22"/>
          <w:szCs w:val="22"/>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4" w:right="160" w:firstLine="1237"/>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ind w:left="844" w:hanging="844"/>
        <w:spacing w:after="0"/>
        <w:tabs>
          <w:tab w:leader="none" w:pos="844"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ertain Definitions</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1684" w:hanging="834"/>
        <w:spacing w:after="0"/>
        <w:tabs>
          <w:tab w:leader="none" w:pos="16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“AAA” shall have the meaning set forth in Section 18.</w:t>
      </w:r>
    </w:p>
    <w:p>
      <w:pPr>
        <w:spacing w:after="0" w:line="206" w:lineRule="exact"/>
        <w:rPr>
          <w:rFonts w:ascii="Arial" w:cs="Arial" w:eastAsia="Arial" w:hAnsi="Arial"/>
          <w:sz w:val="22"/>
          <w:szCs w:val="22"/>
          <w:color w:val="auto"/>
        </w:rPr>
      </w:pPr>
    </w:p>
    <w:p>
      <w:pPr>
        <w:ind w:left="1684" w:right="400" w:hanging="834"/>
        <w:spacing w:after="0" w:line="297" w:lineRule="auto"/>
        <w:tabs>
          <w:tab w:leader="none" w:pos="1684"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“Affiliate”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33" w:lineRule="exact"/>
        <w:rPr>
          <w:rFonts w:ascii="Arial" w:cs="Arial" w:eastAsia="Arial" w:hAnsi="Arial"/>
          <w:sz w:val="19"/>
          <w:szCs w:val="19"/>
          <w:color w:val="auto"/>
        </w:rPr>
      </w:pPr>
    </w:p>
    <w:p>
      <w:pPr>
        <w:ind w:left="1684" w:hanging="834"/>
        <w:spacing w:after="0"/>
        <w:tabs>
          <w:tab w:leader="none" w:pos="16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“Agreement” shall have the meaning set forth in the preamble hereto.</w:t>
      </w:r>
    </w:p>
    <w:p>
      <w:pPr>
        <w:spacing w:after="0" w:line="206" w:lineRule="exact"/>
        <w:rPr>
          <w:rFonts w:ascii="Arial" w:cs="Arial" w:eastAsia="Arial" w:hAnsi="Arial"/>
          <w:sz w:val="22"/>
          <w:szCs w:val="22"/>
          <w:color w:val="auto"/>
        </w:rPr>
      </w:pPr>
    </w:p>
    <w:p>
      <w:pPr>
        <w:ind w:left="1684" w:hanging="834"/>
        <w:spacing w:after="0"/>
        <w:tabs>
          <w:tab w:leader="none" w:pos="16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“Annual Base Salary” shall have the meaning set forth in Section 3(a).</w:t>
      </w:r>
    </w:p>
    <w:p>
      <w:pPr>
        <w:spacing w:after="0" w:line="206" w:lineRule="exact"/>
        <w:rPr>
          <w:rFonts w:ascii="Arial" w:cs="Arial" w:eastAsia="Arial" w:hAnsi="Arial"/>
          <w:sz w:val="22"/>
          <w:szCs w:val="22"/>
          <w:color w:val="auto"/>
        </w:rPr>
      </w:pPr>
    </w:p>
    <w:p>
      <w:pPr>
        <w:ind w:left="1684" w:hanging="834"/>
        <w:spacing w:after="0"/>
        <w:tabs>
          <w:tab w:leader="none" w:pos="16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“Annual Bonus” shall have the meaning set forth in Section 3(b).</w:t>
      </w:r>
    </w:p>
    <w:p>
      <w:pPr>
        <w:spacing w:after="0" w:line="206" w:lineRule="exact"/>
        <w:rPr>
          <w:rFonts w:ascii="Arial" w:cs="Arial" w:eastAsia="Arial" w:hAnsi="Arial"/>
          <w:sz w:val="22"/>
          <w:szCs w:val="22"/>
          <w:color w:val="auto"/>
        </w:rPr>
      </w:pPr>
    </w:p>
    <w:p>
      <w:pPr>
        <w:ind w:left="1684" w:right="340" w:hanging="834"/>
        <w:spacing w:after="0" w:line="328" w:lineRule="auto"/>
        <w:tabs>
          <w:tab w:leader="none" w:pos="1684"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“Annual LTIP Target” means the annual grant-date LTIP target award value, which value may vary in the Board’s discretion based on Executive’s or the Company’s performance prior to each annual LTIP grant.</w:t>
      </w:r>
    </w:p>
    <w:p>
      <w:pPr>
        <w:spacing w:after="0" w:line="104" w:lineRule="exact"/>
        <w:rPr>
          <w:rFonts w:ascii="Arial" w:cs="Arial" w:eastAsia="Arial" w:hAnsi="Arial"/>
          <w:sz w:val="19"/>
          <w:szCs w:val="19"/>
          <w:color w:val="auto"/>
        </w:rPr>
      </w:pPr>
    </w:p>
    <w:p>
      <w:pPr>
        <w:ind w:left="1684" w:right="240" w:hanging="834"/>
        <w:spacing w:after="0" w:line="250" w:lineRule="auto"/>
        <w:tabs>
          <w:tab w:leader="none" w:pos="16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“Board” shall mean the Board of Managers of the General Partner, or any successor governing body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210185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4"/>
          </w:cols>
          <w:pgMar w:left="436" w:top="112" w:right="339" w:bottom="1440" w:gutter="0" w:footer="0" w:header="0"/>
        </w:sectPr>
      </w:pPr>
    </w:p>
    <w:bookmarkStart w:id="183" w:name="page184"/>
    <w:bookmarkEnd w:id="183"/>
    <w:p>
      <w:pPr>
        <w:ind w:left="1720" w:hanging="834"/>
        <w:spacing w:after="0" w:line="272" w:lineRule="auto"/>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shall have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to terminate the Executive’s employment hereunder upon: (i) the Executive’s willful failure to substantially perform the duties set forth herein (other than any such failure resulting from the Executive’s Disability); (ii) the Executive’s willful failure to carry out, or comply with, in any material respect any lawful directive of the Board; (iii) the Executive’s commission at any time of any act or omission that results in, or may reasonably be expected to result in, a conviction, plea of no contest, plea of </w:t>
      </w:r>
      <w:r>
        <w:rPr>
          <w:rFonts w:ascii="Arial" w:cs="Arial" w:eastAsia="Arial" w:hAnsi="Arial"/>
          <w:sz w:val="19"/>
          <w:szCs w:val="19"/>
          <w:i w:val="1"/>
          <w:iCs w:val="1"/>
          <w:color w:val="auto"/>
        </w:rPr>
        <w:t>nolo contendere</w:t>
      </w:r>
      <w:r>
        <w:rPr>
          <w:rFonts w:ascii="Arial" w:cs="Arial" w:eastAsia="Arial" w:hAnsi="Arial"/>
          <w:sz w:val="19"/>
          <w:szCs w:val="19"/>
          <w:color w:val="auto"/>
        </w:rPr>
        <w:t>, or imposition of unadjudicated probation for any felony or crime involving moral turpitude; (iv) the Executive’s unlawful use (including being under the influence) or possession of illegal drugs on the Company’s premises or while performing the Executive’s duties and responsibilities hereunder; (v) the Executive’s commission at any time of any act of fraud, embezzlement, misappropriation, material misconduct, conversion of assets of the Company, or breach of fiduciary duty against the Company (or any predecessor thereto or successor thereof); or (vi) the Executive’s material breach of this Agreement, or other agreements with the Company (including, without limitation, any breach of the restrictive covenants of any such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720" w:right="20" w:hanging="834"/>
        <w:spacing w:after="0" w:line="270" w:lineRule="auto"/>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“Change in Control” shall mean: (i) any “person” or “group” within the meaning of Sections 13(d) and 14(d)(2) of the Exchange Act shall become the beneficial owners, by way of merger, acquisition, consolidation, recapitalization, reorganization or otherwise, of fifty percent (50%) or more of the combined voting power of the equity interests in the General Partner or the Partnership; (ii) the limited partners of the Partnership approve, in one or a series of transactions, a plan of complete liquidation of the Partnership, (iii) the sale or other disposition by the General Partner or the Partnership of all or substantially all of the Partnership’s assets in one or more transactions to any Person other than the Company, the General Partner, or the Partnership; or (iv) a transaction resulting in a Person other than the Company, the General Partner, or any of their respective Affiliates (as determined immediately prior to the consummation of any such transaction) being the sole general partner of the Partnership. Notwithstanding any of the foregoing, or anything to the contrary expressed or implied by any other provision of this Agreement, in no event shall a “Change in Control” result from a mutually agreed transaction or out-of-court settlement between the parties, or a voluntary or involuntary foreclosure, reorganization, bankruptcy or similar judicial proceeding, the result of which is that certain equity interests in the General Partner or the Partnership that are pledged to the lenders as collateral to secure Summit Midstream Partners Holdings, LLC’s obligations under the Term Loan (as defined below) are transferred to one or more of such lenders in full and final satisfaction of the term loan obligations.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720" w:hanging="834"/>
        <w:spacing w:after="0"/>
        <w:tabs>
          <w:tab w:leader="none" w:pos="17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w:t>
      </w:r>
    </w:p>
    <w:p>
      <w:pPr>
        <w:spacing w:after="0" w:line="206" w:lineRule="exact"/>
        <w:rPr>
          <w:rFonts w:ascii="Arial" w:cs="Arial" w:eastAsia="Arial" w:hAnsi="Arial"/>
          <w:sz w:val="22"/>
          <w:szCs w:val="22"/>
          <w:color w:val="auto"/>
        </w:rPr>
      </w:pPr>
    </w:p>
    <w:p>
      <w:pPr>
        <w:ind w:left="1720" w:right="120" w:hanging="834"/>
        <w:spacing w:after="0" w:line="250" w:lineRule="auto"/>
        <w:tabs>
          <w:tab w:leader="none" w:pos="17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“Company” shall, except as otherwise provided in Section 7(i), have the meaning set forth in the preamble hereto.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00" w:top="118" w:right="459" w:bottom="1440" w:gutter="0" w:footer="0" w:header="0"/>
        </w:sectPr>
      </w:pPr>
    </w:p>
    <w:bookmarkStart w:id="184" w:name="page185"/>
    <w:bookmarkEnd w:id="184"/>
    <w:p>
      <w:pPr>
        <w:ind w:left="1720" w:right="840" w:hanging="834"/>
        <w:spacing w:after="0" w:line="251" w:lineRule="auto"/>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“Compensation Committee” shall mean the Compensation Committee of the Board, or if no such committee exists, the Board.</w:t>
      </w:r>
    </w:p>
    <w:p>
      <w:pPr>
        <w:spacing w:after="0" w:line="173" w:lineRule="exact"/>
        <w:rPr>
          <w:rFonts w:ascii="Arial" w:cs="Arial" w:eastAsia="Arial" w:hAnsi="Arial"/>
          <w:sz w:val="22"/>
          <w:szCs w:val="22"/>
          <w:color w:val="auto"/>
        </w:rPr>
      </w:pPr>
    </w:p>
    <w:p>
      <w:pPr>
        <w:ind w:left="1720" w:hanging="834"/>
        <w:spacing w:after="0" w:line="246" w:lineRule="auto"/>
        <w:tabs>
          <w:tab w:leader="none" w:pos="17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“Date of Termination” shall mean (i) if the Executive’s employment is terminated due to the Executive’s death, the date of the Executive’s death; (ii) if the Executive’s employment is terminated due to the Executive’s Disability, the date determined pursuant to Section 4(a)(ii); (iii) if the Executive’s employment is terminated pursuant to Section 4(a)(iii)-(vi) or Section 4(a)(ix), either the date indicated in the Notice of Termination or the date specified by the Company pursuant to Section 4(b), whichever is earlier; or (iv) if the Executive’s employment is terminated pursuant to Section 4(a)(vii)-(viii), the date immediately following the expiration of the then-current Term.</w:t>
      </w:r>
    </w:p>
    <w:p>
      <w:pPr>
        <w:spacing w:after="0" w:line="184" w:lineRule="exact"/>
        <w:rPr>
          <w:rFonts w:ascii="Arial" w:cs="Arial" w:eastAsia="Arial" w:hAnsi="Arial"/>
          <w:sz w:val="21"/>
          <w:szCs w:val="21"/>
          <w:color w:val="auto"/>
        </w:rPr>
      </w:pPr>
    </w:p>
    <w:p>
      <w:pPr>
        <w:ind w:left="1720" w:right="20" w:hanging="834"/>
        <w:spacing w:after="0" w:line="236" w:lineRule="auto"/>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“Disability” shall mean the Executive’s inability, with or without reasonable accommodation, to perform the essential functions of his position by reason of any medically determinable physical or mental impairment that can be expected to result in death or that can be expected to last for a continuous period of not less than twelve (12) months as determined by a physician jointly selected by the Company and the Executive.</w:t>
      </w:r>
    </w:p>
    <w:p>
      <w:pPr>
        <w:spacing w:after="0" w:line="187"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“Effective Date” shall have the meaning set forth in the preamble hereto.</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“Exchange Act” shall mean the Securities Exchange Act of 1934, as amended.</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“Excise Tax” shall have the meaning set forth in Section 6(b).</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“Executive” shall have the meaning set forth in the preamble hereto.</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“Extension Term” shall have the meaning set forth in Section 2(b).</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“First Payment Date” shall have the meaning set forth in Section 5(b)(ii).</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“General Partner” means Summit Midstream GP, LLC, a Delaware limited liability company.</w:t>
      </w:r>
    </w:p>
    <w:p>
      <w:pPr>
        <w:spacing w:after="0" w:line="206" w:lineRule="exact"/>
        <w:rPr>
          <w:rFonts w:ascii="Arial" w:cs="Arial" w:eastAsia="Arial" w:hAnsi="Arial"/>
          <w:sz w:val="22"/>
          <w:szCs w:val="22"/>
          <w:color w:val="auto"/>
        </w:rPr>
      </w:pPr>
    </w:p>
    <w:p>
      <w:pPr>
        <w:ind w:left="1720" w:right="20" w:hanging="834"/>
        <w:spacing w:after="0" w:line="273" w:lineRule="auto"/>
        <w:tabs>
          <w:tab w:leader="none" w:pos="17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“Good Reason” will mean the occurrence of one or more of the following conditions: (i) a material diminution in the Executive’s authority, duties, or responsibilities, as described herein; (ii) a material diminution in the aggregated total of the Executive’s (A) Annual Base Salary, (B) target Annual Bonus (as a percentage of Annual Base Salary) and (C) Annual LTIP Target, in each case as described herein; provided, however that any diminution of the Annual LTIP Target in accordance with the proviso of the definition thereof shall be disregarded for purposes of this definition; (iii) a material change in the geographic location at which the Executive must perform the Executive’s services hereunder that requires the Executive to relocate his or her residence to a location more than fifty (50) miles from Houston, Texas; provided that the foregoing shall only constitute Good Reason under this Agreement if (1) as of the Effective Date, Executive’s residence is located within fifty (50) miles of Houston, Texas or (2) at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400" w:top="118" w:right="539" w:bottom="1440" w:gutter="0" w:footer="0" w:header="0"/>
        </w:sectPr>
      </w:pPr>
    </w:p>
    <w:bookmarkStart w:id="185" w:name="page186"/>
    <w:bookmarkEnd w:id="185"/>
    <w:p>
      <w:pPr>
        <w:jc w:val="both"/>
        <w:ind w:left="1740"/>
        <w:spacing w:after="0" w:line="273" w:lineRule="auto"/>
        <w:rPr>
          <w:sz w:val="20"/>
          <w:szCs w:val="20"/>
          <w:color w:val="auto"/>
        </w:rPr>
      </w:pPr>
      <w:r>
        <w:rPr>
          <w:rFonts w:ascii="Arial" w:cs="Arial" w:eastAsia="Arial" w:hAnsi="Arial"/>
          <w:sz w:val="19"/>
          <w:szCs w:val="19"/>
          <w:color w:val="auto"/>
        </w:rPr>
        <w:t>the request of the Company, Executive relocates his or her residence to within fifty (50) miles of Houston, Texas during the Term; (iv) and any other action or inaction that constitutes a material breach of this Agreement by the Company. For the avoidance of doubt, the following will not constitute "Good Reason":</w:t>
      </w:r>
    </w:p>
    <w:p>
      <w:pPr>
        <w:spacing w:after="0" w:line="1" w:lineRule="exact"/>
        <w:rPr>
          <w:sz w:val="20"/>
          <w:szCs w:val="20"/>
          <w:color w:val="auto"/>
        </w:rPr>
      </w:pPr>
    </w:p>
    <w:p>
      <w:pPr>
        <w:jc w:val="both"/>
        <w:ind w:left="1740" w:hanging="6"/>
        <w:spacing w:after="0" w:line="234" w:lineRule="auto"/>
        <w:tabs>
          <w:tab w:leader="none" w:pos="2078" w:val="left"/>
        </w:tabs>
        <w:numPr>
          <w:ilvl w:val="3"/>
          <w:numId w:val="158"/>
        </w:numPr>
        <w:rPr>
          <w:rFonts w:ascii="Arial" w:cs="Arial" w:eastAsia="Arial" w:hAnsi="Arial"/>
          <w:sz w:val="22"/>
          <w:szCs w:val="22"/>
          <w:color w:val="auto"/>
        </w:rPr>
      </w:pPr>
      <w:r>
        <w:rPr>
          <w:rFonts w:ascii="Arial" w:cs="Arial" w:eastAsia="Arial" w:hAnsi="Arial"/>
          <w:sz w:val="22"/>
          <w:szCs w:val="22"/>
          <w:color w:val="auto"/>
        </w:rPr>
        <w:t>the notification and placement of Executive on administrative leave with compensation and benefit continuation pending a potential determination by the Board that Executive may be terminated for Cause and (y) non-extension of the Term by the Executive.</w:t>
      </w:r>
    </w:p>
    <w:p>
      <w:pPr>
        <w:spacing w:after="0" w:line="187" w:lineRule="exact"/>
        <w:rPr>
          <w:rFonts w:ascii="Arial" w:cs="Arial" w:eastAsia="Arial" w:hAnsi="Arial"/>
          <w:sz w:val="22"/>
          <w:szCs w:val="22"/>
          <w:color w:val="auto"/>
        </w:rPr>
      </w:pPr>
    </w:p>
    <w:p>
      <w:pPr>
        <w:ind w:left="1720" w:hanging="834"/>
        <w:spacing w:after="0"/>
        <w:tabs>
          <w:tab w:leader="none" w:pos="17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w:t>
      </w:r>
      <w:r>
        <w:rPr>
          <w:rFonts w:ascii="Arial" w:cs="Arial" w:eastAsia="Arial" w:hAnsi="Arial"/>
          <w:sz w:val="22"/>
          <w:szCs w:val="22"/>
          <w:color w:val="auto"/>
        </w:rPr>
        <w:t>” shall have the meaning set forth in Section 2(b).</w:t>
      </w:r>
    </w:p>
    <w:p>
      <w:pPr>
        <w:spacing w:after="0" w:line="206" w:lineRule="exact"/>
        <w:rPr>
          <w:rFonts w:ascii="Arial" w:cs="Arial" w:eastAsia="Arial" w:hAnsi="Arial"/>
          <w:sz w:val="22"/>
          <w:szCs w:val="22"/>
          <w:color w:val="auto"/>
        </w:rPr>
      </w:pPr>
    </w:p>
    <w:p>
      <w:pPr>
        <w:ind w:left="1720" w:hanging="834"/>
        <w:spacing w:after="0"/>
        <w:tabs>
          <w:tab w:leader="none" w:pos="17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Installment Payments</w:t>
      </w:r>
      <w:r>
        <w:rPr>
          <w:rFonts w:ascii="Arial" w:cs="Arial" w:eastAsia="Arial" w:hAnsi="Arial"/>
          <w:sz w:val="22"/>
          <w:szCs w:val="22"/>
          <w:color w:val="auto"/>
        </w:rPr>
        <w:t>” shall have the meaning set forth in Section 5(b)(ii).</w:t>
      </w:r>
    </w:p>
    <w:p>
      <w:pPr>
        <w:spacing w:after="0" w:line="206" w:lineRule="exact"/>
        <w:rPr>
          <w:rFonts w:ascii="Arial" w:cs="Arial" w:eastAsia="Arial" w:hAnsi="Arial"/>
          <w:sz w:val="22"/>
          <w:szCs w:val="22"/>
          <w:color w:val="auto"/>
        </w:rPr>
      </w:pPr>
    </w:p>
    <w:p>
      <w:pPr>
        <w:ind w:left="1720" w:right="380" w:hanging="834"/>
        <w:spacing w:after="0" w:line="236" w:lineRule="auto"/>
        <w:tabs>
          <w:tab w:leader="none" w:pos="17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“LTIP” shall mean the Summit Midstream Partners, LP 2012 Long-Term Incentive Plan adopted by the Partnership in connection with Registration Statement 333-184214, filed by the Partnership with the Securities and Exchange Commission on October 1, 2012, and any additional long-term incentive plan adopted in the future and identified by the Company or the Partnership, in the adopting resolution or otherwise, as an “LTIP” pursuant hereto.</w:t>
      </w:r>
    </w:p>
    <w:p>
      <w:pPr>
        <w:spacing w:after="0" w:line="187" w:lineRule="exact"/>
        <w:rPr>
          <w:rFonts w:ascii="Arial" w:cs="Arial" w:eastAsia="Arial" w:hAnsi="Arial"/>
          <w:sz w:val="22"/>
          <w:szCs w:val="22"/>
          <w:color w:val="auto"/>
        </w:rPr>
      </w:pPr>
    </w:p>
    <w:p>
      <w:pPr>
        <w:ind w:left="1720" w:hanging="834"/>
        <w:spacing w:after="0"/>
        <w:tabs>
          <w:tab w:leader="none" w:pos="172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“Notice of Termination” shall have the meaning set forth in Section 4(b).</w:t>
      </w:r>
    </w:p>
    <w:p>
      <w:pPr>
        <w:spacing w:after="0" w:line="206" w:lineRule="exact"/>
        <w:rPr>
          <w:rFonts w:ascii="Arial" w:cs="Arial" w:eastAsia="Arial" w:hAnsi="Arial"/>
          <w:sz w:val="22"/>
          <w:szCs w:val="22"/>
          <w:color w:val="auto"/>
        </w:rPr>
      </w:pPr>
    </w:p>
    <w:p>
      <w:pPr>
        <w:ind w:left="1420" w:hanging="384"/>
        <w:spacing w:after="0"/>
        <w:tabs>
          <w:tab w:leader="none" w:pos="1420" w:val="left"/>
        </w:tabs>
        <w:numPr>
          <w:ilvl w:val="2"/>
          <w:numId w:val="159"/>
        </w:numPr>
        <w:rPr>
          <w:rFonts w:ascii="Arial" w:cs="Arial" w:eastAsia="Arial" w:hAnsi="Arial"/>
          <w:sz w:val="21"/>
          <w:szCs w:val="21"/>
          <w:color w:val="auto"/>
        </w:rPr>
      </w:pPr>
      <w:r>
        <w:rPr>
          <w:rFonts w:ascii="Arial" w:cs="Arial" w:eastAsia="Arial" w:hAnsi="Arial"/>
          <w:sz w:val="21"/>
          <w:szCs w:val="21"/>
          <w:color w:val="auto"/>
        </w:rPr>
        <w:t>“Original Employment Agreement” shall have the meaning set forth in the recitals hereto.</w:t>
      </w:r>
    </w:p>
    <w:p>
      <w:pPr>
        <w:spacing w:after="0" w:line="217" w:lineRule="exact"/>
        <w:rPr>
          <w:rFonts w:ascii="Arial" w:cs="Arial" w:eastAsia="Arial" w:hAnsi="Arial"/>
          <w:sz w:val="21"/>
          <w:szCs w:val="21"/>
          <w:color w:val="auto"/>
        </w:rPr>
      </w:pPr>
    </w:p>
    <w:p>
      <w:pPr>
        <w:ind w:left="1440" w:hanging="404"/>
        <w:spacing w:after="0"/>
        <w:tabs>
          <w:tab w:leader="none" w:pos="1440" w:val="left"/>
        </w:tabs>
        <w:numPr>
          <w:ilvl w:val="2"/>
          <w:numId w:val="159"/>
        </w:numPr>
        <w:rPr>
          <w:rFonts w:ascii="Arial" w:cs="Arial" w:eastAsia="Arial" w:hAnsi="Arial"/>
          <w:sz w:val="22"/>
          <w:szCs w:val="22"/>
          <w:color w:val="auto"/>
        </w:rPr>
      </w:pPr>
      <w:r>
        <w:rPr>
          <w:rFonts w:ascii="Arial" w:cs="Arial" w:eastAsia="Arial" w:hAnsi="Arial"/>
          <w:sz w:val="22"/>
          <w:szCs w:val="22"/>
          <w:color w:val="auto"/>
        </w:rPr>
        <w:t>“Partnership” means Summit Midstream Partners LP, a Delaware limited partnership.</w:t>
      </w:r>
    </w:p>
    <w:p>
      <w:pPr>
        <w:spacing w:after="0" w:line="206" w:lineRule="exact"/>
        <w:rPr>
          <w:rFonts w:ascii="Arial" w:cs="Arial" w:eastAsia="Arial" w:hAnsi="Arial"/>
          <w:sz w:val="22"/>
          <w:szCs w:val="22"/>
          <w:color w:val="auto"/>
        </w:rPr>
      </w:pPr>
    </w:p>
    <w:p>
      <w:pPr>
        <w:ind w:left="1280" w:hanging="391"/>
        <w:spacing w:after="0"/>
        <w:tabs>
          <w:tab w:leader="none" w:pos="12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“Performance Targets” shall have the meaning set forth in Section 3(b).</w:t>
      </w:r>
    </w:p>
    <w:p>
      <w:pPr>
        <w:spacing w:after="0" w:line="206" w:lineRule="exact"/>
        <w:rPr>
          <w:rFonts w:ascii="Arial" w:cs="Arial" w:eastAsia="Arial" w:hAnsi="Arial"/>
          <w:sz w:val="22"/>
          <w:szCs w:val="22"/>
          <w:color w:val="auto"/>
        </w:rPr>
      </w:pPr>
    </w:p>
    <w:p>
      <w:pPr>
        <w:ind w:left="1740" w:hanging="704"/>
        <w:spacing w:after="0" w:line="236" w:lineRule="auto"/>
        <w:tabs>
          <w:tab w:leader="none" w:pos="151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“Person”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87" w:lineRule="exact"/>
        <w:rPr>
          <w:sz w:val="20"/>
          <w:szCs w:val="20"/>
          <w:color w:val="auto"/>
        </w:rPr>
      </w:pPr>
    </w:p>
    <w:p>
      <w:pPr>
        <w:ind w:left="1280" w:hanging="391"/>
        <w:spacing w:after="0"/>
        <w:tabs>
          <w:tab w:leader="none" w:pos="128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“Proprietary Information” shall have the meaning set forth in Section 7(c).</w:t>
      </w:r>
    </w:p>
    <w:p>
      <w:pPr>
        <w:spacing w:after="0" w:line="217" w:lineRule="exact"/>
        <w:rPr>
          <w:rFonts w:ascii="Arial" w:cs="Arial" w:eastAsia="Arial" w:hAnsi="Arial"/>
          <w:sz w:val="21"/>
          <w:szCs w:val="21"/>
          <w:color w:val="auto"/>
        </w:rPr>
      </w:pPr>
    </w:p>
    <w:p>
      <w:pPr>
        <w:ind w:left="880" w:right="420" w:firstLine="9"/>
        <w:spacing w:after="0" w:line="239" w:lineRule="auto"/>
        <w:tabs>
          <w:tab w:leader="none" w:pos="121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“Prorated Termination Bonus” shall have the meaning set forth in Section 3(b) (gg) “Release” shall have the meaning set forth in Section 5(b)(ii).</w:t>
      </w:r>
    </w:p>
    <w:p>
      <w:pPr>
        <w:ind w:left="1740" w:hanging="704"/>
        <w:spacing w:after="0" w:line="230" w:lineRule="auto"/>
        <w:tabs>
          <w:tab w:leader="none" w:pos="1467" w:val="left"/>
        </w:tabs>
        <w:numPr>
          <w:ilvl w:val="1"/>
          <w:numId w:val="161"/>
        </w:numPr>
        <w:rPr>
          <w:rFonts w:ascii="Arial" w:cs="Arial" w:eastAsia="Arial" w:hAnsi="Arial"/>
          <w:sz w:val="22"/>
          <w:szCs w:val="22"/>
          <w:color w:val="auto"/>
        </w:rPr>
      </w:pPr>
      <w:r>
        <w:rPr>
          <w:rFonts w:ascii="Arial" w:cs="Arial" w:eastAsia="Arial" w:hAnsi="Arial"/>
          <w:sz w:val="22"/>
          <w:szCs w:val="22"/>
          <w:color w:val="auto"/>
        </w:rPr>
        <w:t>“Restricted Business” shall mean any business (i) relating to midstream assets (including, without limitation, the gathering, processing and transportation of natural gas and crude oil), which competes with the business of the Company, its parent, Affiliates, related entities, or any of their direct or indirect subsidiaries, or</w:t>
      </w:r>
    </w:p>
    <w:p>
      <w:pPr>
        <w:spacing w:after="0" w:line="2" w:lineRule="exact"/>
        <w:rPr>
          <w:rFonts w:ascii="Arial" w:cs="Arial" w:eastAsia="Arial" w:hAnsi="Arial"/>
          <w:sz w:val="22"/>
          <w:szCs w:val="22"/>
          <w:color w:val="auto"/>
        </w:rPr>
      </w:pPr>
    </w:p>
    <w:p>
      <w:pPr>
        <w:ind w:left="2100" w:hanging="366"/>
        <w:spacing w:after="0"/>
        <w:tabs>
          <w:tab w:leader="none" w:pos="2100" w:val="left"/>
        </w:tabs>
        <w:numPr>
          <w:ilvl w:val="2"/>
          <w:numId w:val="161"/>
        </w:numPr>
        <w:rPr>
          <w:rFonts w:ascii="Arial" w:cs="Arial" w:eastAsia="Arial" w:hAnsi="Arial"/>
          <w:sz w:val="22"/>
          <w:szCs w:val="22"/>
          <w:color w:val="auto"/>
        </w:rPr>
      </w:pPr>
      <w:r>
        <w:rPr>
          <w:rFonts w:ascii="Arial" w:cs="Arial" w:eastAsia="Arial" w:hAnsi="Arial"/>
          <w:sz w:val="22"/>
          <w:szCs w:val="22"/>
          <w:color w:val="auto"/>
        </w:rPr>
        <w:t>which the Company, its parent, Affiliates, related entities, or any of their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86" w:name="page187"/>
    <w:bookmarkEnd w:id="186"/>
    <w:p>
      <w:pPr>
        <w:jc w:val="both"/>
        <w:ind w:left="1740"/>
        <w:spacing w:after="0" w:line="287" w:lineRule="auto"/>
        <w:rPr>
          <w:sz w:val="20"/>
          <w:szCs w:val="20"/>
          <w:color w:val="auto"/>
        </w:rPr>
      </w:pPr>
      <w:r>
        <w:rPr>
          <w:rFonts w:ascii="Arial" w:cs="Arial" w:eastAsia="Arial" w:hAnsi="Arial"/>
          <w:sz w:val="19"/>
          <w:szCs w:val="19"/>
          <w:color w:val="auto"/>
        </w:rPr>
        <w:t>direct or indirect subsidiaries have taken active steps to engage in or acquire, but 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 prior to the Date of Termination.</w:t>
      </w:r>
    </w:p>
    <w:p>
      <w:pPr>
        <w:spacing w:after="0" w:line="143" w:lineRule="exact"/>
        <w:rPr>
          <w:sz w:val="20"/>
          <w:szCs w:val="20"/>
          <w:color w:val="auto"/>
        </w:rPr>
      </w:pPr>
    </w:p>
    <w:p>
      <w:pPr>
        <w:jc w:val="right"/>
        <w:ind w:left="8680" w:hanging="7220"/>
        <w:spacing w:after="0" w:line="328" w:lineRule="auto"/>
        <w:tabs>
          <w:tab w:leader="none" w:pos="188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“Restricted Period” shall mean the period from the Date of Termination through the first (1st) anniversary of the Date of Termination.</w:t>
      </w:r>
    </w:p>
    <w:p>
      <w:pPr>
        <w:spacing w:after="0" w:line="104" w:lineRule="exact"/>
        <w:rPr>
          <w:rFonts w:ascii="Arial" w:cs="Arial" w:eastAsia="Arial" w:hAnsi="Arial"/>
          <w:sz w:val="19"/>
          <w:szCs w:val="19"/>
          <w:color w:val="auto"/>
        </w:rPr>
      </w:pPr>
    </w:p>
    <w:p>
      <w:pPr>
        <w:ind w:left="1740" w:hanging="704"/>
        <w:spacing w:after="0" w:line="274" w:lineRule="auto"/>
        <w:tabs>
          <w:tab w:leader="none" w:pos="136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“Restricted Territory” shall mean (i) those counties set forth on Exhibit A to this Agreement, (ii) those counties in which the Company, its parent, Affiliates, related entities, or any of their direct or indirect subsidiaries engaged in operations or owned or operated assets at any time during the twelve (12)-month period immediately prior to the Date of Termination, and (iii) those counties in which the Company, its parent, Affiliates, related entities, or any of their direct or indirect subsidiaries took active steps to engage in operations or acquire or operate assets, but only if the Executive directly or indirectly engaged in, had any equity interest in, or managed or operated, such business or activity (whether as director, officer, employee, agent, representative, partner, security holder, consultant or otherwise) at any time during the twelve (12)-month period immediately prior to the Date of Termination.</w:t>
      </w:r>
    </w:p>
    <w:p>
      <w:pPr>
        <w:spacing w:after="0" w:line="158" w:lineRule="exact"/>
        <w:rPr>
          <w:rFonts w:ascii="Arial" w:cs="Arial" w:eastAsia="Arial" w:hAnsi="Arial"/>
          <w:sz w:val="19"/>
          <w:szCs w:val="19"/>
          <w:color w:val="auto"/>
        </w:rPr>
      </w:pPr>
    </w:p>
    <w:p>
      <w:pPr>
        <w:ind w:left="1740" w:hanging="704"/>
        <w:spacing w:after="0"/>
        <w:tabs>
          <w:tab w:leader="none" w:pos="146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“Section 409A”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8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color w:val="auto"/>
        </w:rPr>
        <w:t>(ll)</w:t>
      </w:r>
      <w:r>
        <w:rPr>
          <w:sz w:val="20"/>
          <w:szCs w:val="20"/>
          <w:color w:val="auto"/>
        </w:rPr>
        <w:tab/>
      </w:r>
      <w:r>
        <w:rPr>
          <w:rFonts w:ascii="Arial" w:cs="Arial" w:eastAsia="Arial" w:hAnsi="Arial"/>
          <w:sz w:val="22"/>
          <w:szCs w:val="22"/>
          <w:color w:val="auto"/>
        </w:rPr>
        <w:t>“Severance Payment” shall have the meaning set forth in Section 5(b)(i).</w:t>
      </w:r>
    </w:p>
    <w:p>
      <w:pPr>
        <w:spacing w:after="0" w:line="206" w:lineRule="exact"/>
        <w:rPr>
          <w:sz w:val="20"/>
          <w:szCs w:val="20"/>
          <w:color w:val="auto"/>
        </w:rPr>
      </w:pPr>
    </w:p>
    <w:p>
      <w:pPr>
        <w:ind w:left="1740" w:hanging="704"/>
        <w:spacing w:after="0"/>
        <w:tabs>
          <w:tab w:leader="none" w:pos="15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“Severance Period” shall mean the period beginning on the Date of Termination and ending on the first (1st) anniversary of the Date of Termination, unless earlier terminated pursuant to the last sentence of Section 7(a).</w:t>
      </w:r>
    </w:p>
    <w:p>
      <w:pPr>
        <w:spacing w:after="0" w:line="18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color w:val="auto"/>
        </w:rPr>
        <w:t>(nn)</w:t>
      </w:r>
      <w:r>
        <w:rPr>
          <w:sz w:val="20"/>
          <w:szCs w:val="20"/>
          <w:color w:val="auto"/>
        </w:rPr>
        <w:tab/>
      </w:r>
      <w:r>
        <w:rPr>
          <w:rFonts w:ascii="Arial" w:cs="Arial" w:eastAsia="Arial" w:hAnsi="Arial"/>
          <w:sz w:val="22"/>
          <w:szCs w:val="22"/>
          <w:color w:val="auto"/>
        </w:rPr>
        <w:t>“Term” shall have the meaning set forth in Section 2(b)</w:t>
      </w:r>
    </w:p>
    <w:p>
      <w:pPr>
        <w:spacing w:after="0" w:line="206" w:lineRule="exact"/>
        <w:rPr>
          <w:sz w:val="20"/>
          <w:szCs w:val="20"/>
          <w:color w:val="auto"/>
        </w:rPr>
      </w:pPr>
    </w:p>
    <w:p>
      <w:pPr>
        <w:ind w:left="1740" w:hanging="704"/>
        <w:spacing w:after="0" w:line="297" w:lineRule="auto"/>
        <w:tabs>
          <w:tab w:leader="none" w:pos="1539"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“Term Loan” shall mean the Term Loan Agreement dated as of March 21, 2017 by and between Summit Midstream Partners Holdings, LLC, as Borrower, the several Lenders party thereto, and Credit Suisse AG, Cayman Islands Branch, as Administrative Agent and Collateral Agent (as amended).</w:t>
      </w:r>
    </w:p>
    <w:p>
      <w:pPr>
        <w:spacing w:after="0" w:line="134"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color w:val="auto"/>
        </w:rPr>
        <w:t>(pp)</w:t>
      </w:r>
      <w:r>
        <w:rPr>
          <w:sz w:val="20"/>
          <w:szCs w:val="20"/>
          <w:color w:val="auto"/>
        </w:rPr>
        <w:tab/>
      </w:r>
      <w:r>
        <w:rPr>
          <w:rFonts w:ascii="Arial" w:cs="Arial" w:eastAsia="Arial" w:hAnsi="Arial"/>
          <w:sz w:val="22"/>
          <w:szCs w:val="22"/>
          <w:color w:val="auto"/>
        </w:rPr>
        <w:t>“Total Payments” shall have the meaning set forth in Section 6(b).</w:t>
      </w:r>
    </w:p>
    <w:p>
      <w:pPr>
        <w:spacing w:after="0" w:line="187" w:lineRule="exact"/>
        <w:rPr>
          <w:sz w:val="20"/>
          <w:szCs w:val="20"/>
          <w:color w:val="auto"/>
        </w:rPr>
      </w:pPr>
    </w:p>
    <w:p>
      <w:pPr>
        <w:ind w:left="880" w:hanging="844"/>
        <w:spacing w:after="0"/>
        <w:tabs>
          <w:tab w:leader="none" w:pos="88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mployment</w:t>
      </w:r>
      <w:r>
        <w:rPr>
          <w:rFonts w:ascii="Arial" w:cs="Arial" w:eastAsia="Arial" w:hAnsi="Arial"/>
          <w:sz w:val="22"/>
          <w:szCs w:val="22"/>
          <w:color w:val="auto"/>
        </w:rPr>
        <w:t>.</w:t>
      </w:r>
    </w:p>
    <w:p>
      <w:pPr>
        <w:spacing w:after="0" w:line="199" w:lineRule="exact"/>
        <w:rPr>
          <w:sz w:val="20"/>
          <w:szCs w:val="20"/>
          <w:color w:val="auto"/>
        </w:rPr>
      </w:pPr>
    </w:p>
    <w:p>
      <w:pPr>
        <w:ind w:left="1720" w:hanging="834"/>
        <w:spacing w:after="0"/>
        <w:tabs>
          <w:tab w:leader="none" w:pos="172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The Company shall employ the Executive and the Executive shall</w:t>
      </w:r>
    </w:p>
    <w:p>
      <w:pPr>
        <w:spacing w:after="0" w:line="8" w:lineRule="exact"/>
        <w:rPr>
          <w:sz w:val="20"/>
          <w:szCs w:val="20"/>
          <w:color w:val="auto"/>
        </w:rPr>
      </w:pPr>
    </w:p>
    <w:p>
      <w:pPr>
        <w:ind w:left="40" w:right="40"/>
        <w:spacing w:after="0" w:line="236" w:lineRule="auto"/>
        <w:rPr>
          <w:sz w:val="20"/>
          <w:szCs w:val="20"/>
          <w:color w:val="auto"/>
        </w:rPr>
      </w:pPr>
      <w:r>
        <w:rPr>
          <w:rFonts w:ascii="Arial" w:cs="Arial" w:eastAsia="Arial" w:hAnsi="Arial"/>
          <w:sz w:val="22"/>
          <w:szCs w:val="22"/>
          <w:color w:val="auto"/>
        </w:rPr>
        <w:t>enter the employ of the Company, for the period set forth in Section 2(b), in the position set forth in Section 2(c), and upon the other terms and conditions herein provided.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87" w:name="page188"/>
    <w:bookmarkEnd w:id="187"/>
    <w:p>
      <w:pPr>
        <w:ind w:left="1800" w:hanging="834"/>
        <w:spacing w:after="0"/>
        <w:tabs>
          <w:tab w:leader="none" w:pos="18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erm of Employment</w:t>
      </w:r>
      <w:r>
        <w:rPr>
          <w:rFonts w:ascii="Arial" w:cs="Arial" w:eastAsia="Arial" w:hAnsi="Arial"/>
          <w:sz w:val="22"/>
          <w:szCs w:val="22"/>
          <w:color w:val="auto"/>
        </w:rPr>
        <w:t>. The initial term of employment under this Agreement (the</w:t>
      </w:r>
    </w:p>
    <w:p>
      <w:pPr>
        <w:spacing w:after="0" w:line="9" w:lineRule="exact"/>
        <w:rPr>
          <w:sz w:val="20"/>
          <w:szCs w:val="20"/>
          <w:color w:val="auto"/>
        </w:rPr>
      </w:pPr>
    </w:p>
    <w:p>
      <w:pPr>
        <w:jc w:val="both"/>
        <w:ind w:left="12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 nitial Term</w:t>
      </w:r>
      <w:r>
        <w:rPr>
          <w:rFonts w:ascii="Arial" w:cs="Arial" w:eastAsia="Arial" w:hAnsi="Arial"/>
          <w:sz w:val="22"/>
          <w:szCs w:val="22"/>
          <w:color w:val="auto"/>
        </w:rPr>
        <w:t>”) shall be for the period beginning on the Effective Date and ending on the second (2nd) anniversary of the Effective Date, unless earlier terminated as provided in Section 4. The Initial Term shall automatically be extended for successive one (1) year periods (each, an “Extension Term” and, collectively with the Initial Term, the “</w:t>
      </w:r>
      <w:r>
        <w:rPr>
          <w:rFonts w:ascii="Arial" w:cs="Arial" w:eastAsia="Arial" w:hAnsi="Arial"/>
          <w:sz w:val="22"/>
          <w:szCs w:val="22"/>
          <w:u w:val="single" w:color="auto"/>
          <w:color w:val="auto"/>
        </w:rPr>
        <w:t>Term</w:t>
      </w:r>
      <w:r>
        <w:rPr>
          <w:rFonts w:ascii="Arial" w:cs="Arial" w:eastAsia="Arial" w:hAnsi="Arial"/>
          <w:sz w:val="22"/>
          <w:szCs w:val="22"/>
          <w:color w:val="auto"/>
        </w:rPr>
        <w:t>”), unless either party hereto gives notice of non-extension to the other no later than thirty (30) days prior to the expiration of the then-applicable Term.</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(c)</w:t>
            </w:r>
          </w:p>
        </w:tc>
        <w:tc>
          <w:tcPr>
            <w:tcW w:w="7500" w:type="dxa"/>
            <w:vAlign w:val="bottom"/>
            <w:gridSpan w:val="5"/>
          </w:tcPr>
          <w:p>
            <w:pPr>
              <w:spacing w:after="0"/>
              <w:rPr>
                <w:sz w:val="20"/>
                <w:szCs w:val="20"/>
                <w:color w:val="auto"/>
              </w:rPr>
            </w:pPr>
            <w:r>
              <w:rPr>
                <w:rFonts w:ascii="Arial" w:cs="Arial" w:eastAsia="Arial" w:hAnsi="Arial"/>
                <w:sz w:val="22"/>
                <w:szCs w:val="22"/>
                <w:color w:val="auto"/>
                <w:w w:val="89"/>
              </w:rPr>
              <w:t xml:space="preserve">Position and Duties. During the Term, the Executive: (i) shall serve as </w:t>
            </w:r>
            <w:r>
              <w:rPr>
                <w:rFonts w:ascii="Arial" w:cs="Arial" w:eastAsia="Arial" w:hAnsi="Arial"/>
                <w:sz w:val="22"/>
                <w:szCs w:val="22"/>
                <w:b w:val="1"/>
                <w:bCs w:val="1"/>
                <w:color w:val="auto"/>
                <w:w w:val="89"/>
              </w:rPr>
              <w:t>Executive Vice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380" w:type="dxa"/>
            <w:vAlign w:val="bottom"/>
            <w:gridSpan w:val="4"/>
          </w:tcPr>
          <w:p>
            <w:pPr>
              <w:spacing w:after="0" w:line="223" w:lineRule="exact"/>
              <w:rPr>
                <w:sz w:val="20"/>
                <w:szCs w:val="20"/>
                <w:color w:val="auto"/>
              </w:rPr>
            </w:pPr>
            <w:r>
              <w:rPr>
                <w:rFonts w:ascii="Arial" w:cs="Arial" w:eastAsia="Arial" w:hAnsi="Arial"/>
                <w:sz w:val="22"/>
                <w:szCs w:val="22"/>
                <w:b w:val="1"/>
                <w:bCs w:val="1"/>
                <w:color w:val="auto"/>
              </w:rPr>
              <w:t>President and Chief Financial Officer</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of the Company, with responsibilities, duties and</w:t>
      </w:r>
    </w:p>
    <w:p>
      <w:pPr>
        <w:spacing w:after="0" w:line="8" w:lineRule="exact"/>
        <w:rPr>
          <w:sz w:val="20"/>
          <w:szCs w:val="20"/>
          <w:color w:val="auto"/>
        </w:rPr>
      </w:pPr>
    </w:p>
    <w:p>
      <w:pPr>
        <w:jc w:val="both"/>
        <w:ind w:left="120"/>
        <w:spacing w:after="0" w:line="266" w:lineRule="auto"/>
        <w:rPr>
          <w:sz w:val="20"/>
          <w:szCs w:val="20"/>
          <w:color w:val="auto"/>
        </w:rPr>
      </w:pPr>
      <w:r>
        <w:rPr>
          <w:rFonts w:ascii="Arial" w:cs="Arial" w:eastAsia="Arial" w:hAnsi="Arial"/>
          <w:sz w:val="19"/>
          <w:szCs w:val="19"/>
          <w:color w:val="auto"/>
        </w:rPr>
        <w:t xml:space="preserve">authority customary for such position, subject to direction by the Board; (ii) shall report to the </w:t>
      </w:r>
      <w:r>
        <w:rPr>
          <w:rFonts w:ascii="Arial" w:cs="Arial" w:eastAsia="Arial" w:hAnsi="Arial"/>
          <w:sz w:val="19"/>
          <w:szCs w:val="19"/>
          <w:b w:val="1"/>
          <w:bCs w:val="1"/>
          <w:color w:val="auto"/>
        </w:rPr>
        <w:t>P</w:t>
      </w:r>
      <w:r>
        <w:rPr>
          <w:rFonts w:ascii="Arial" w:cs="Arial" w:eastAsia="Arial" w:hAnsi="Arial"/>
          <w:sz w:val="19"/>
          <w:szCs w:val="19"/>
          <w:b w:val="1"/>
          <w:bCs w:val="1"/>
          <w:u w:val="single" w:color="auto"/>
          <w:color w:val="auto"/>
        </w:rPr>
        <w:t>resident and CEO</w:t>
      </w:r>
      <w:r>
        <w:rPr>
          <w:rFonts w:ascii="Arial" w:cs="Arial" w:eastAsia="Arial" w:hAnsi="Arial"/>
          <w:sz w:val="19"/>
          <w:szCs w:val="19"/>
          <w:color w:val="auto"/>
        </w:rPr>
        <w:t xml:space="preserve">; (iii) shall devote substantially all the Executive’s working time and efforts to the business and affairs of the Partnership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may (1) serve on corporate, civic, charitable, industry or professional association boards or committees, subject to the Board’s prior written consent in the case of any such board or committee that relates directly or indirectly to the business of the Company or its subsidiaries (which consent shall not unreasonably be withheld),</w:t>
      </w:r>
    </w:p>
    <w:p>
      <w:pPr>
        <w:spacing w:after="0" w:line="4" w:lineRule="exact"/>
        <w:rPr>
          <w:sz w:val="20"/>
          <w:szCs w:val="20"/>
          <w:color w:val="auto"/>
        </w:rPr>
      </w:pPr>
    </w:p>
    <w:p>
      <w:pPr>
        <w:jc w:val="both"/>
        <w:ind w:left="120" w:firstLine="5"/>
        <w:spacing w:after="0" w:line="277" w:lineRule="auto"/>
        <w:tabs>
          <w:tab w:leader="none" w:pos="432" w:val="left"/>
        </w:tabs>
        <w:numPr>
          <w:ilvl w:val="1"/>
          <w:numId w:val="169"/>
        </w:numPr>
        <w:rPr>
          <w:rFonts w:ascii="Arial" w:cs="Arial" w:eastAsia="Arial" w:hAnsi="Arial"/>
          <w:sz w:val="19"/>
          <w:szCs w:val="19"/>
          <w:color w:val="auto"/>
        </w:rPr>
      </w:pPr>
      <w:r>
        <w:rPr>
          <w:rFonts w:ascii="Arial" w:cs="Arial" w:eastAsia="Arial" w:hAnsi="Arial"/>
          <w:sz w:val="19"/>
          <w:szCs w:val="19"/>
          <w:color w:val="auto"/>
        </w:rPr>
        <w:t>deliver lectures, fulfill speaking engagements or teach at educational institutions and (3) manage his personal investments, so long as none of such activities meaningfully interferes with the performance of the Executive’s duties and responsibilities hereunder, or involves a conflict of interest with the Executive’s duties or responsibilities hereunder or a breach of the covenants contained in Section 7; and (iv) agrees to observe and comply with the Company’s rules and policies as adopted by the Company from time to time, which have been made available to the Executive.</w:t>
      </w:r>
    </w:p>
    <w:p>
      <w:pPr>
        <w:spacing w:after="0" w:line="146" w:lineRule="exact"/>
        <w:rPr>
          <w:rFonts w:ascii="Arial" w:cs="Arial" w:eastAsia="Arial" w:hAnsi="Arial"/>
          <w:sz w:val="19"/>
          <w:szCs w:val="19"/>
          <w:color w:val="auto"/>
        </w:rPr>
      </w:pPr>
    </w:p>
    <w:p>
      <w:pPr>
        <w:ind w:left="960" w:hanging="844"/>
        <w:spacing w:after="0"/>
        <w:tabs>
          <w:tab w:leader="none" w:pos="96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ompensation and Related Matters</w:t>
      </w:r>
      <w:r>
        <w:rPr>
          <w:rFonts w:ascii="Arial" w:cs="Arial" w:eastAsia="Arial" w:hAnsi="Arial"/>
          <w:sz w:val="22"/>
          <w:szCs w:val="22"/>
          <w:color w:val="auto"/>
        </w:rPr>
        <w:t>.</w:t>
      </w:r>
    </w:p>
    <w:p>
      <w:pPr>
        <w:spacing w:after="0" w:line="20" w:lineRule="exact"/>
        <w:rPr>
          <w:sz w:val="20"/>
          <w:szCs w:val="20"/>
          <w:color w:val="auto"/>
        </w:rPr>
      </w:pPr>
    </w:p>
    <w:p>
      <w:pPr>
        <w:spacing w:after="0" w:line="173" w:lineRule="exact"/>
        <w:rPr>
          <w:sz w:val="20"/>
          <w:szCs w:val="20"/>
          <w:color w:val="auto"/>
        </w:rPr>
      </w:pPr>
    </w:p>
    <w:p>
      <w:pPr>
        <w:ind w:left="1800" w:hanging="834"/>
        <w:spacing w:after="0"/>
        <w:tabs>
          <w:tab w:leader="none" w:pos="18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nnual Base Salary</w:t>
      </w:r>
      <w:r>
        <w:rPr>
          <w:rFonts w:ascii="Arial" w:cs="Arial" w:eastAsia="Arial" w:hAnsi="Arial"/>
          <w:sz w:val="22"/>
          <w:szCs w:val="22"/>
          <w:color w:val="auto"/>
        </w:rPr>
        <w:t>. During the Term, the Executive shall receive a base salary at</w:t>
      </w:r>
    </w:p>
    <w:p>
      <w:pPr>
        <w:spacing w:after="0" w:line="20" w:lineRule="exact"/>
        <w:rPr>
          <w:sz w:val="20"/>
          <w:szCs w:val="20"/>
          <w:color w:val="auto"/>
        </w:rPr>
      </w:pPr>
    </w:p>
    <w:p>
      <w:pPr>
        <w:jc w:val="both"/>
        <w:ind w:left="120"/>
        <w:spacing w:after="0" w:line="234" w:lineRule="auto"/>
        <w:rPr>
          <w:sz w:val="20"/>
          <w:szCs w:val="20"/>
          <w:color w:val="auto"/>
        </w:rPr>
      </w:pPr>
      <w:r>
        <w:rPr>
          <w:rFonts w:ascii="Arial" w:cs="Arial" w:eastAsia="Arial" w:hAnsi="Arial"/>
          <w:sz w:val="22"/>
          <w:szCs w:val="22"/>
          <w:color w:val="auto"/>
        </w:rPr>
        <w:t xml:space="preserve">a rate of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350,000</w:t>
      </w:r>
      <w:r>
        <w:rPr>
          <w:rFonts w:ascii="Arial" w:cs="Arial" w:eastAsia="Arial" w:hAnsi="Arial"/>
          <w:sz w:val="22"/>
          <w:szCs w:val="22"/>
          <w:color w:val="auto"/>
        </w:rPr>
        <w:t xml:space="preserve"> per annum, which shall be paid in accordance with the customary payroll practices of the Company, subject to review and upward, but not downward without Executive’s written consent, adjustment by the Board in its sole discretion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w:t>
      </w:r>
    </w:p>
    <w:p>
      <w:pPr>
        <w:spacing w:after="0" w:line="182" w:lineRule="exact"/>
        <w:rPr>
          <w:sz w:val="20"/>
          <w:szCs w:val="20"/>
          <w:color w:val="auto"/>
        </w:rPr>
      </w:pPr>
    </w:p>
    <w:p>
      <w:pPr>
        <w:ind w:left="1800" w:hanging="834"/>
        <w:spacing w:after="0"/>
        <w:tabs>
          <w:tab w:leader="none" w:pos="18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nnual Bonus</w:t>
      </w:r>
      <w:r>
        <w:rPr>
          <w:rFonts w:ascii="Arial" w:cs="Arial" w:eastAsia="Arial" w:hAnsi="Arial"/>
          <w:sz w:val="22"/>
          <w:szCs w:val="22"/>
          <w:color w:val="auto"/>
        </w:rPr>
        <w:t>. With respect to each calendar year that ends during the Term, the</w:t>
      </w:r>
    </w:p>
    <w:p>
      <w:pPr>
        <w:spacing w:after="0" w:line="20" w:lineRule="exact"/>
        <w:rPr>
          <w:sz w:val="20"/>
          <w:szCs w:val="20"/>
          <w:color w:val="auto"/>
        </w:rPr>
      </w:pPr>
    </w:p>
    <w:p>
      <w:pPr>
        <w:jc w:val="both"/>
        <w:ind w:left="120"/>
        <w:spacing w:after="0" w:line="270" w:lineRule="auto"/>
        <w:rPr>
          <w:sz w:val="20"/>
          <w:szCs w:val="20"/>
          <w:color w:val="auto"/>
        </w:rPr>
      </w:pPr>
      <w:r>
        <w:rPr>
          <w:rFonts w:ascii="Arial" w:cs="Arial" w:eastAsia="Arial" w:hAnsi="Arial"/>
          <w:sz w:val="19"/>
          <w:szCs w:val="19"/>
          <w:color w:val="auto"/>
        </w:rPr>
        <w:t>Executive shall be eligible to receive an annual cash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prorated for the first calendar year of the Term, ranging from zero to </w:t>
      </w:r>
      <w:r>
        <w:rPr>
          <w:rFonts w:ascii="Arial" w:cs="Arial" w:eastAsia="Arial" w:hAnsi="Arial"/>
          <w:sz w:val="19"/>
          <w:szCs w:val="19"/>
          <w:b w:val="1"/>
          <w:bCs w:val="1"/>
          <w:u w:val="single" w:color="auto"/>
          <w:color w:val="auto"/>
        </w:rPr>
        <w:t>two hundred percent (200%)</w:t>
      </w:r>
      <w:r>
        <w:rPr>
          <w:rFonts w:ascii="Arial" w:cs="Arial" w:eastAsia="Arial" w:hAnsi="Arial"/>
          <w:sz w:val="19"/>
          <w:szCs w:val="19"/>
          <w:color w:val="auto"/>
        </w:rPr>
        <w:t xml:space="preserve"> of the Annual Base Salary, with a target Annual Bonus equal to </w:t>
      </w:r>
      <w:r>
        <w:rPr>
          <w:rFonts w:ascii="Arial" w:cs="Arial" w:eastAsia="Arial" w:hAnsi="Arial"/>
          <w:sz w:val="19"/>
          <w:szCs w:val="19"/>
          <w:b w:val="1"/>
          <w:bCs w:val="1"/>
          <w:color w:val="auto"/>
        </w:rPr>
        <w:t>o</w:t>
      </w:r>
      <w:r>
        <w:rPr>
          <w:rFonts w:ascii="Arial" w:cs="Arial" w:eastAsia="Arial" w:hAnsi="Arial"/>
          <w:sz w:val="19"/>
          <w:szCs w:val="19"/>
          <w:b w:val="1"/>
          <w:bCs w:val="1"/>
          <w:u w:val="single" w:color="auto"/>
          <w:color w:val="auto"/>
        </w:rPr>
        <w:t>ne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hundred percent (100%)</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Annual Base Salary, based upon annual performance targets (the “</w:t>
      </w:r>
      <w:r>
        <w:rPr>
          <w:rFonts w:ascii="Arial" w:cs="Arial" w:eastAsia="Arial" w:hAnsi="Arial"/>
          <w:sz w:val="19"/>
          <w:szCs w:val="19"/>
          <w:u w:val="single" w:color="auto"/>
          <w:color w:val="auto"/>
        </w:rPr>
        <w:t>Performance Targets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established by the Board in its sole discretion. The amount of the Annual Bonus shall be based upon attainment of the Performance Targets, as determined by the Board (or any authorized committee of the Board) in its sole discretion. Each such Annual Bonus shall be payable on such date as is determined by the Board, but in any event on or prior to March 15 of the calendar year immediately following the calendar year with respect to which such Annual Bonus relates. Notwithstanding the foregoing, no bonus shall be payable with respect to any calendar year unless the Executive remains continuously employed with the Company during the period beginning on the Effective Date and ending on December 31 of such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Executive’s employment is terminated pursuant to Section 4(a)(i), (ii), (iv), (v) or (vii), the Company shall pay to the Executive a prorated Annual Bonus with respect to the calendar year in which the Date of Termination occurs equal to the target Annual Bonus for such calendar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88" w:name="page189"/>
    <w:bookmarkEnd w:id="188"/>
    <w:p>
      <w:pPr>
        <w:jc w:val="both"/>
        <w:ind w:left="80"/>
        <w:spacing w:after="0" w:line="236" w:lineRule="auto"/>
        <w:rPr>
          <w:sz w:val="20"/>
          <w:szCs w:val="20"/>
          <w:color w:val="auto"/>
        </w:rPr>
      </w:pPr>
      <w:r>
        <w:rPr>
          <w:rFonts w:ascii="Arial" w:cs="Arial" w:eastAsia="Arial" w:hAnsi="Arial"/>
          <w:sz w:val="22"/>
          <w:szCs w:val="22"/>
          <w:color w:val="auto"/>
        </w:rPr>
        <w:t>multiplied by a fraction, the numerator of which is the number of calendar days during such calendar year that the Executive was continuously employed by the Company and the denominator of which is 365 (the “</w:t>
      </w:r>
      <w:r>
        <w:rPr>
          <w:rFonts w:ascii="Arial" w:cs="Arial" w:eastAsia="Arial" w:hAnsi="Arial"/>
          <w:sz w:val="22"/>
          <w:szCs w:val="22"/>
          <w:u w:val="single" w:color="auto"/>
          <w:color w:val="auto"/>
        </w:rPr>
        <w:t>Prorated Termination Bonus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in the case of a termination pursuant to Section 4(a)(ii), (iv), (v) or (vii), no portion of the Prorated Termination Bonus shall be paid unless the Executive timely executes the Release and does not revoke the Release within the time periods set forth in Section 5(b)(ii).</w:t>
      </w:r>
    </w:p>
    <w:p>
      <w:pPr>
        <w:spacing w:after="0" w:line="174" w:lineRule="exact"/>
        <w:rPr>
          <w:sz w:val="20"/>
          <w:szCs w:val="20"/>
          <w:color w:val="auto"/>
        </w:rPr>
      </w:pPr>
    </w:p>
    <w:p>
      <w:pPr>
        <w:ind w:left="80" w:right="2220" w:firstLine="846"/>
        <w:spacing w:after="0" w:line="328" w:lineRule="auto"/>
        <w:tabs>
          <w:tab w:leader="none" w:pos="175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L</w:t>
      </w:r>
      <w:r>
        <w:rPr>
          <w:rFonts w:ascii="Arial" w:cs="Arial" w:eastAsia="Arial" w:hAnsi="Arial"/>
          <w:sz w:val="19"/>
          <w:szCs w:val="19"/>
          <w:u w:val="single" w:color="auto"/>
          <w:color w:val="auto"/>
        </w:rPr>
        <w:t>TIP Award</w:t>
      </w:r>
      <w:r>
        <w:rPr>
          <w:rFonts w:ascii="Arial" w:cs="Arial" w:eastAsia="Arial" w:hAnsi="Arial"/>
          <w:sz w:val="19"/>
          <w:szCs w:val="19"/>
          <w:color w:val="auto"/>
        </w:rPr>
        <w:t>. During the Term, the Executive shall be eligible to receive annual equity award grants pursuant to the LTIP, as determined by the Board or a committee thereof.</w:t>
      </w:r>
    </w:p>
    <w:p>
      <w:pPr>
        <w:spacing w:after="0" w:line="112" w:lineRule="exact"/>
        <w:rPr>
          <w:sz w:val="20"/>
          <w:szCs w:val="20"/>
          <w:color w:val="auto"/>
        </w:rPr>
      </w:pPr>
    </w:p>
    <w:p>
      <w:pPr>
        <w:spacing w:after="0"/>
        <w:tabs>
          <w:tab w:leader="none" w:pos="2140" w:val="left"/>
          <w:tab w:leader="none" w:pos="9280" w:val="left"/>
        </w:tabs>
        <w:rPr>
          <w:sz w:val="20"/>
          <w:szCs w:val="20"/>
          <w:color w:val="auto"/>
        </w:rPr>
      </w:pPr>
      <w:r>
        <w:rPr>
          <w:rFonts w:ascii="Arial" w:cs="Arial" w:eastAsia="Arial" w:hAnsi="Arial"/>
          <w:sz w:val="22"/>
          <w:szCs w:val="22"/>
          <w:color w:val="auto"/>
        </w:rPr>
        <w:t>For calendar year</w:t>
      </w:r>
      <w:r>
        <w:rPr>
          <w:sz w:val="20"/>
          <w:szCs w:val="20"/>
          <w:color w:val="auto"/>
        </w:rPr>
        <w:tab/>
      </w:r>
      <w:r>
        <w:rPr>
          <w:rFonts w:ascii="Arial" w:cs="Arial" w:eastAsia="Arial" w:hAnsi="Arial"/>
          <w:sz w:val="22"/>
          <w:szCs w:val="22"/>
          <w:b w:val="1"/>
          <w:bCs w:val="1"/>
          <w:color w:val="auto"/>
        </w:rPr>
        <w:t>2</w:t>
      </w:r>
      <w:r>
        <w:rPr>
          <w:rFonts w:ascii="Arial" w:cs="Arial" w:eastAsia="Arial" w:hAnsi="Arial"/>
          <w:sz w:val="22"/>
          <w:szCs w:val="22"/>
          <w:b w:val="1"/>
          <w:bCs w:val="1"/>
          <w:u w:val="single" w:color="auto"/>
          <w:color w:val="auto"/>
        </w:rPr>
        <w:t>020</w:t>
      </w:r>
      <w:r>
        <w:rPr>
          <w:rFonts w:ascii="Arial" w:cs="Arial" w:eastAsia="Arial" w:hAnsi="Arial"/>
          <w:sz w:val="22"/>
          <w:szCs w:val="22"/>
          <w:b w:val="1"/>
          <w:bCs w:val="1"/>
          <w:color w:val="auto"/>
        </w:rPr>
        <w:t xml:space="preserve"> </w:t>
      </w:r>
      <w:r>
        <w:rPr>
          <w:rFonts w:ascii="Arial" w:cs="Arial" w:eastAsia="Arial" w:hAnsi="Arial"/>
          <w:sz w:val="22"/>
          <w:szCs w:val="22"/>
          <w:color w:val="auto"/>
        </w:rPr>
        <w:t>and beyond, the Annual LTIP Target will be equal to</w:t>
      </w:r>
      <w:r>
        <w:rPr>
          <w:sz w:val="20"/>
          <w:szCs w:val="20"/>
          <w:color w:val="auto"/>
        </w:rPr>
        <w:tab/>
      </w:r>
      <w:r>
        <w:rPr>
          <w:rFonts w:ascii="Arial" w:cs="Arial" w:eastAsia="Arial" w:hAnsi="Arial"/>
          <w:sz w:val="19"/>
          <w:szCs w:val="19"/>
          <w:b w:val="1"/>
          <w:bCs w:val="1"/>
          <w:color w:val="auto"/>
        </w:rPr>
        <w:t>1</w:t>
      </w:r>
      <w:r>
        <w:rPr>
          <w:rFonts w:ascii="Arial" w:cs="Arial" w:eastAsia="Arial" w:hAnsi="Arial"/>
          <w:sz w:val="19"/>
          <w:szCs w:val="19"/>
          <w:b w:val="1"/>
          <w:bCs w:val="1"/>
          <w:u w:val="single" w:color="auto"/>
          <w:color w:val="auto"/>
        </w:rPr>
        <w:t>65%</w:t>
      </w:r>
      <w:r>
        <w:rPr>
          <w:rFonts w:ascii="Arial" w:cs="Arial" w:eastAsia="Arial" w:hAnsi="Arial"/>
          <w:sz w:val="19"/>
          <w:szCs w:val="19"/>
          <w:b w:val="1"/>
          <w:bCs w:val="1"/>
          <w:color w:val="auto"/>
        </w:rPr>
        <w:t xml:space="preserve"> </w:t>
      </w:r>
      <w:r>
        <w:rPr>
          <w:rFonts w:ascii="Arial" w:cs="Arial" w:eastAsia="Arial" w:hAnsi="Arial"/>
          <w:sz w:val="19"/>
          <w:szCs w:val="19"/>
          <w:color w:val="auto"/>
        </w:rPr>
        <w:t>of the</w:t>
      </w:r>
    </w:p>
    <w:p>
      <w:pPr>
        <w:spacing w:after="0" w:line="239" w:lineRule="exact"/>
        <w:rPr>
          <w:sz w:val="20"/>
          <w:szCs w:val="20"/>
          <w:color w:val="auto"/>
        </w:rPr>
      </w:pPr>
    </w:p>
    <w:p>
      <w:pPr>
        <w:ind w:left="80" w:right="140"/>
        <w:spacing w:after="0" w:line="250" w:lineRule="auto"/>
        <w:rPr>
          <w:sz w:val="20"/>
          <w:szCs w:val="20"/>
          <w:color w:val="auto"/>
        </w:rPr>
      </w:pPr>
      <w:r>
        <w:rPr>
          <w:rFonts w:ascii="Arial" w:cs="Arial" w:eastAsia="Arial" w:hAnsi="Arial"/>
          <w:sz w:val="22"/>
          <w:szCs w:val="22"/>
          <w:color w:val="auto"/>
        </w:rPr>
        <w:t>Annual Base Salary. Any awards issued to the Executive under the LTIP are governed by and subject to the terms of the LTIP and the underlying award agreements.</w:t>
      </w:r>
    </w:p>
    <w:p>
      <w:pPr>
        <w:spacing w:after="0" w:line="161" w:lineRule="exact"/>
        <w:rPr>
          <w:sz w:val="20"/>
          <w:szCs w:val="20"/>
          <w:color w:val="auto"/>
        </w:rPr>
      </w:pPr>
    </w:p>
    <w:p>
      <w:pPr>
        <w:ind w:left="1760" w:hanging="834"/>
        <w:spacing w:after="0"/>
        <w:tabs>
          <w:tab w:leader="none" w:pos="17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enefits</w:t>
      </w:r>
      <w:r>
        <w:rPr>
          <w:rFonts w:ascii="Arial" w:cs="Arial" w:eastAsia="Arial" w:hAnsi="Arial"/>
          <w:sz w:val="22"/>
          <w:szCs w:val="22"/>
          <w:color w:val="auto"/>
        </w:rPr>
        <w:t>. The Executive shall be eligible to participate in benefit plans, programs</w:t>
      </w:r>
    </w:p>
    <w:p>
      <w:pPr>
        <w:spacing w:after="0" w:line="8" w:lineRule="exact"/>
        <w:rPr>
          <w:sz w:val="20"/>
          <w:szCs w:val="20"/>
          <w:color w:val="auto"/>
        </w:rPr>
      </w:pPr>
    </w:p>
    <w:p>
      <w:pPr>
        <w:ind w:left="80" w:right="160"/>
        <w:spacing w:after="0" w:line="236" w:lineRule="auto"/>
        <w:rPr>
          <w:sz w:val="20"/>
          <w:szCs w:val="20"/>
          <w:color w:val="auto"/>
        </w:rPr>
      </w:pPr>
      <w:r>
        <w:rPr>
          <w:rFonts w:ascii="Arial" w:cs="Arial" w:eastAsia="Arial" w:hAnsi="Arial"/>
          <w:sz w:val="22"/>
          <w:szCs w:val="22"/>
          <w:color w:val="auto"/>
        </w:rPr>
        <w:t>and arrangements of the Company, as in effect from time to time (including, without limitation, medical and dental insurance and a 401(k) plan).</w:t>
      </w:r>
    </w:p>
    <w:p>
      <w:pPr>
        <w:spacing w:after="0" w:line="173" w:lineRule="exact"/>
        <w:rPr>
          <w:sz w:val="20"/>
          <w:szCs w:val="20"/>
          <w:color w:val="auto"/>
        </w:rPr>
      </w:pPr>
    </w:p>
    <w:p>
      <w:pPr>
        <w:ind w:left="1760" w:hanging="834"/>
        <w:spacing w:after="0"/>
        <w:tabs>
          <w:tab w:leader="none" w:pos="17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acation; Holidays</w:t>
      </w:r>
      <w:r>
        <w:rPr>
          <w:rFonts w:ascii="Arial" w:cs="Arial" w:eastAsia="Arial" w:hAnsi="Arial"/>
          <w:sz w:val="22"/>
          <w:szCs w:val="22"/>
          <w:color w:val="auto"/>
        </w:rPr>
        <w:t>. During the Term, the Executive shall be entitled to paid time</w:t>
      </w:r>
    </w:p>
    <w:p>
      <w:pPr>
        <w:spacing w:after="0" w:line="20" w:lineRule="exact"/>
        <w:rPr>
          <w:sz w:val="20"/>
          <w:szCs w:val="20"/>
          <w:color w:val="auto"/>
        </w:rPr>
      </w:pPr>
    </w:p>
    <w:p>
      <w:pPr>
        <w:jc w:val="both"/>
        <w:ind w:left="80"/>
        <w:spacing w:after="0" w:line="277" w:lineRule="auto"/>
        <w:rPr>
          <w:sz w:val="20"/>
          <w:szCs w:val="20"/>
          <w:color w:val="auto"/>
        </w:rPr>
      </w:pPr>
      <w:r>
        <w:rPr>
          <w:rFonts w:ascii="Arial" w:cs="Arial" w:eastAsia="Arial" w:hAnsi="Arial"/>
          <w:sz w:val="19"/>
          <w:szCs w:val="19"/>
          <w:color w:val="auto"/>
        </w:rPr>
        <w:t>off (“PTO”) each full calendar year as provided by the Company’s PTO policies for similarly situated employees. The PTO shall be used for vacation and sick days. Any vacation shall be taken at the reasonable and mutual convenience of the Company and the Executive. Any PTO that the Executive is entitled to in any calendar year that is not used by the end of such calendar year shall be forfeited, except for up to five days of PTO each year that may be carried forward to the following year. Holidays shall be provided in accordance with Company policy, as in effect from time to time.</w:t>
      </w:r>
    </w:p>
    <w:p>
      <w:pPr>
        <w:spacing w:after="0" w:line="139" w:lineRule="exact"/>
        <w:rPr>
          <w:sz w:val="20"/>
          <w:szCs w:val="20"/>
          <w:color w:val="auto"/>
        </w:rPr>
      </w:pPr>
    </w:p>
    <w:p>
      <w:pPr>
        <w:ind w:left="1760" w:hanging="834"/>
        <w:spacing w:after="0"/>
        <w:tabs>
          <w:tab w:leader="none" w:pos="17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usiness Expenses</w:t>
      </w:r>
      <w:r>
        <w:rPr>
          <w:rFonts w:ascii="Arial" w:cs="Arial" w:eastAsia="Arial" w:hAnsi="Arial"/>
          <w:sz w:val="22"/>
          <w:szCs w:val="22"/>
          <w:color w:val="auto"/>
        </w:rPr>
        <w:t>.During the Term, the Company shall reimburse the</w:t>
      </w:r>
    </w:p>
    <w:p>
      <w:pPr>
        <w:spacing w:after="0" w:line="8" w:lineRule="exact"/>
        <w:rPr>
          <w:sz w:val="20"/>
          <w:szCs w:val="20"/>
          <w:color w:val="auto"/>
        </w:rPr>
      </w:pPr>
    </w:p>
    <w:p>
      <w:pPr>
        <w:jc w:val="both"/>
        <w:ind w:left="80"/>
        <w:spacing w:after="0" w:line="277" w:lineRule="auto"/>
        <w:rPr>
          <w:sz w:val="20"/>
          <w:szCs w:val="20"/>
          <w:color w:val="auto"/>
        </w:rPr>
      </w:pPr>
      <w:r>
        <w:rPr>
          <w:rFonts w:ascii="Arial" w:cs="Arial" w:eastAsia="Arial" w:hAnsi="Arial"/>
          <w:sz w:val="19"/>
          <w:szCs w:val="19"/>
          <w:color w:val="auto"/>
        </w:rPr>
        <w:t xml:space="preserve">Executive for all reasonable travel and other business expenses incurred by the Executive in the performance of the Executive’s duties to the Company in accordance with the Company’s applicable expense reimbursement policies and procedures. In addition to the foregoing, the Company shall reimburse the Executive for annual tax preparation services and ongoing tax advice of up to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12,000</w:t>
      </w:r>
      <w:r>
        <w:rPr>
          <w:rFonts w:ascii="Arial" w:cs="Arial" w:eastAsia="Arial" w:hAnsi="Arial"/>
          <w:sz w:val="19"/>
          <w:szCs w:val="19"/>
          <w:color w:val="auto"/>
        </w:rPr>
        <w:t xml:space="preserve"> per year, beginning with such expenses incurred in 2020. In addition, the Company shall reimburse the Executive for an annual executive physical at a medical facility of the Executive’s choice.</w:t>
      </w:r>
    </w:p>
    <w:p>
      <w:pPr>
        <w:spacing w:after="0" w:line="133" w:lineRule="exact"/>
        <w:rPr>
          <w:sz w:val="20"/>
          <w:szCs w:val="20"/>
          <w:color w:val="auto"/>
        </w:rPr>
      </w:pPr>
    </w:p>
    <w:p>
      <w:pPr>
        <w:ind w:left="920" w:hanging="844"/>
        <w:spacing w:after="0"/>
        <w:tabs>
          <w:tab w:leader="none" w:pos="92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22"/>
          <w:szCs w:val="22"/>
          <w:b w:val="1"/>
          <w:bCs w:val="1"/>
          <w:u w:val="single" w:color="auto"/>
          <w:color w:val="auto"/>
        </w:rPr>
        <w:t>ermination</w:t>
      </w:r>
      <w:r>
        <w:rPr>
          <w:rFonts w:ascii="Arial" w:cs="Arial" w:eastAsia="Arial" w:hAnsi="Arial"/>
          <w:sz w:val="22"/>
          <w:szCs w:val="22"/>
          <w:b w:val="1"/>
          <w:bCs w:val="1"/>
          <w:color w:val="auto"/>
        </w:rPr>
        <w:t>.</w:t>
      </w:r>
    </w:p>
    <w:p>
      <w:pPr>
        <w:spacing w:after="0" w:line="199" w:lineRule="exact"/>
        <w:rPr>
          <w:sz w:val="20"/>
          <w:szCs w:val="20"/>
          <w:color w:val="auto"/>
        </w:rPr>
      </w:pPr>
    </w:p>
    <w:p>
      <w:pPr>
        <w:ind w:left="80" w:right="20" w:firstLine="825"/>
        <w:spacing w:after="0" w:line="250" w:lineRule="auto"/>
        <w:rPr>
          <w:sz w:val="20"/>
          <w:szCs w:val="20"/>
          <w:color w:val="auto"/>
        </w:rPr>
      </w:pPr>
      <w:r>
        <w:rPr>
          <w:rFonts w:ascii="Arial" w:cs="Arial" w:eastAsia="Arial" w:hAnsi="Arial"/>
          <w:sz w:val="22"/>
          <w:szCs w:val="22"/>
          <w:color w:val="auto"/>
        </w:rPr>
        <w:t>The Executive’s employment hereunder may be terminated by the Company or the Executive, as applicable, without any breach of this Agreement only under the following circumstances:</w:t>
      </w:r>
    </w:p>
    <w:p>
      <w:pPr>
        <w:spacing w:after="0" w:line="175" w:lineRule="exact"/>
        <w:rPr>
          <w:sz w:val="20"/>
          <w:szCs w:val="20"/>
          <w:color w:val="auto"/>
        </w:rPr>
      </w:pPr>
    </w:p>
    <w:p>
      <w:pPr>
        <w:ind w:left="1760" w:hanging="834"/>
        <w:spacing w:after="0"/>
        <w:tabs>
          <w:tab w:leader="none" w:pos="17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ircumstances</w:t>
      </w:r>
    </w:p>
    <w:p>
      <w:pPr>
        <w:spacing w:after="0" w:line="187" w:lineRule="exact"/>
        <w:rPr>
          <w:rFonts w:ascii="Arial" w:cs="Arial" w:eastAsia="Arial" w:hAnsi="Arial"/>
          <w:sz w:val="22"/>
          <w:szCs w:val="22"/>
          <w:color w:val="auto"/>
        </w:rPr>
      </w:pPr>
    </w:p>
    <w:p>
      <w:pPr>
        <w:ind w:left="2600" w:hanging="837"/>
        <w:spacing w:after="0"/>
        <w:tabs>
          <w:tab w:leader="none" w:pos="2600" w:val="left"/>
        </w:tabs>
        <w:numPr>
          <w:ilvl w:val="1"/>
          <w:numId w:val="178"/>
        </w:numPr>
        <w:rPr>
          <w:rFonts w:ascii="Arial" w:cs="Arial" w:eastAsia="Arial" w:hAnsi="Arial"/>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eath</w:t>
      </w:r>
      <w:r>
        <w:rPr>
          <w:rFonts w:ascii="Arial" w:cs="Arial" w:eastAsia="Arial" w:hAnsi="Arial"/>
          <w:sz w:val="22"/>
          <w:szCs w:val="22"/>
          <w:color w:val="auto"/>
        </w:rPr>
        <w:t>. The Executive’s employment hereunder shall terminate upon the</w:t>
      </w:r>
    </w:p>
    <w:p>
      <w:pPr>
        <w:ind w:left="920"/>
        <w:spacing w:after="0"/>
        <w:rPr>
          <w:rFonts w:ascii="Arial" w:cs="Arial" w:eastAsia="Arial" w:hAnsi="Arial"/>
          <w:sz w:val="20"/>
          <w:szCs w:val="20"/>
          <w:color w:val="auto"/>
        </w:rPr>
      </w:pPr>
      <w:r>
        <w:rPr>
          <w:rFonts w:ascii="Arial" w:cs="Arial" w:eastAsia="Arial" w:hAnsi="Arial"/>
          <w:sz w:val="22"/>
          <w:szCs w:val="22"/>
          <w:color w:val="auto"/>
        </w:rPr>
        <w:t>Executive’s death.</w:t>
      </w:r>
    </w:p>
    <w:p>
      <w:pPr>
        <w:spacing w:after="0" w:line="188" w:lineRule="exact"/>
        <w:rPr>
          <w:rFonts w:ascii="Arial" w:cs="Arial" w:eastAsia="Arial" w:hAnsi="Arial"/>
          <w:sz w:val="20"/>
          <w:szCs w:val="20"/>
          <w:color w:val="auto"/>
        </w:rPr>
      </w:pPr>
    </w:p>
    <w:p>
      <w:pPr>
        <w:ind w:left="920" w:right="2060" w:firstLine="843"/>
        <w:spacing w:after="0" w:line="313" w:lineRule="auto"/>
        <w:tabs>
          <w:tab w:leader="none" w:pos="2591" w:val="left"/>
        </w:tabs>
        <w:numPr>
          <w:ilvl w:val="1"/>
          <w:numId w:val="178"/>
        </w:numPr>
        <w:rPr>
          <w:rFonts w:ascii="Arial" w:cs="Arial" w:eastAsia="Arial" w:hAnsi="Arial"/>
          <w:sz w:val="18"/>
          <w:szCs w:val="18"/>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isability</w:t>
      </w:r>
      <w:r>
        <w:rPr>
          <w:rFonts w:ascii="Arial" w:cs="Arial" w:eastAsia="Arial" w:hAnsi="Arial"/>
          <w:sz w:val="19"/>
          <w:szCs w:val="19"/>
          <w:color w:val="auto"/>
        </w:rPr>
        <w:t>. If the Executive incurs a Disability, the Company may give the Executive written notice of its intention to terminate the Executive’s employment. In that</w:t>
      </w:r>
    </w:p>
    <w:p>
      <w:pPr>
        <w:spacing w:after="0" w:line="2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452755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60" w:top="172" w:right="479" w:bottom="1440" w:gutter="0" w:footer="0" w:header="0"/>
        </w:sectPr>
      </w:pPr>
    </w:p>
    <w:bookmarkStart w:id="189" w:name="page190"/>
    <w:bookmarkEnd w:id="189"/>
    <w:p>
      <w:pPr>
        <w:jc w:val="both"/>
        <w:ind w:left="880"/>
        <w:spacing w:after="0"/>
        <w:rPr>
          <w:sz w:val="20"/>
          <w:szCs w:val="20"/>
          <w:color w:val="auto"/>
        </w:rPr>
      </w:pPr>
      <w:r>
        <w:rPr>
          <w:rFonts w:ascii="Arial" w:cs="Arial" w:eastAsia="Arial" w:hAnsi="Arial"/>
          <w:sz w:val="22"/>
          <w:szCs w:val="22"/>
          <w:color w:val="auto"/>
        </w:rPr>
        <w:t>event, the Executive’s employment with the Company shall terminate, effective on the later of the thirtieth (30</w:t>
      </w:r>
      <w:r>
        <w:rPr>
          <w:rFonts w:ascii="Arial" w:cs="Arial" w:eastAsia="Arial" w:hAnsi="Arial"/>
          <w:sz w:val="14"/>
          <w:szCs w:val="14"/>
          <w:color w:val="auto"/>
        </w:rPr>
        <w:t>th</w:t>
      </w:r>
      <w:r>
        <w:rPr>
          <w:rFonts w:ascii="Arial" w:cs="Arial" w:eastAsia="Arial" w:hAnsi="Arial"/>
          <w:sz w:val="22"/>
          <w:szCs w:val="22"/>
          <w:color w:val="auto"/>
        </w:rPr>
        <w:t xml:space="preserve">) day after receipt of such notice by the Executive or the date specified in such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Executive’s Disability continues beyond such thirty (30) day notice period.</w:t>
      </w:r>
    </w:p>
    <w:p>
      <w:pPr>
        <w:spacing w:after="0" w:line="181" w:lineRule="exact"/>
        <w:rPr>
          <w:sz w:val="20"/>
          <w:szCs w:val="20"/>
          <w:color w:val="auto"/>
        </w:rPr>
      </w:pPr>
    </w:p>
    <w:p>
      <w:pPr>
        <w:ind w:left="2560" w:hanging="837"/>
        <w:spacing w:after="0"/>
        <w:tabs>
          <w:tab w:leader="none" w:pos="2560" w:val="left"/>
        </w:tabs>
        <w:numPr>
          <w:ilvl w:val="0"/>
          <w:numId w:val="179"/>
        </w:numPr>
        <w:rPr>
          <w:rFonts w:ascii="Arial" w:cs="Arial" w:eastAsia="Arial" w:hAnsi="Arial"/>
          <w:sz w:val="20"/>
          <w:szCs w:val="20"/>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ermination for Cause</w:t>
      </w:r>
      <w:r>
        <w:rPr>
          <w:rFonts w:ascii="Arial" w:cs="Arial" w:eastAsia="Arial" w:hAnsi="Arial"/>
          <w:sz w:val="22"/>
          <w:szCs w:val="22"/>
          <w:color w:val="auto"/>
        </w:rPr>
        <w:t>.The Company may terminate the Executive’s</w:t>
      </w:r>
    </w:p>
    <w:p>
      <w:pPr>
        <w:jc w:val="both"/>
        <w:ind w:left="880"/>
        <w:spacing w:after="0" w:line="232" w:lineRule="auto"/>
        <w:rPr>
          <w:sz w:val="20"/>
          <w:szCs w:val="20"/>
          <w:color w:val="auto"/>
        </w:rPr>
      </w:pPr>
      <w:r>
        <w:rPr>
          <w:rFonts w:ascii="Arial" w:cs="Arial" w:eastAsia="Arial" w:hAnsi="Arial"/>
          <w:sz w:val="22"/>
          <w:szCs w:val="22"/>
          <w:color w:val="auto"/>
        </w:rPr>
        <w:t>employment for Cause. Executive’s termination will not be deemed to be for Cause unless the Company has provided a written Notice of Termination (defined in Section 4(b) below) to Executive specifying the event or condition claimed to constitute Cause and, in the case of a termination pursuant to Section 1(h)(i), (ii), or (vi), Executive has failed to cure Executive’s failure or breach within thirty (30) days following the Executive’s receipt of the Company’s Notice of Termination (to the extent that, in the reasonable judgment of the Board, such failure or breach can be cured by the Executive).</w:t>
      </w:r>
    </w:p>
    <w:p>
      <w:pPr>
        <w:spacing w:after="0" w:line="189" w:lineRule="exact"/>
        <w:rPr>
          <w:sz w:val="20"/>
          <w:szCs w:val="20"/>
          <w:color w:val="auto"/>
        </w:rPr>
      </w:pPr>
    </w:p>
    <w:p>
      <w:pPr>
        <w:ind w:left="880" w:right="2060" w:firstLine="843"/>
        <w:spacing w:after="0" w:line="239" w:lineRule="auto"/>
        <w:tabs>
          <w:tab w:leader="none" w:pos="2551" w:val="left"/>
        </w:tabs>
        <w:numPr>
          <w:ilvl w:val="0"/>
          <w:numId w:val="180"/>
        </w:numPr>
        <w:rPr>
          <w:rFonts w:ascii="Arial" w:cs="Arial" w:eastAsia="Arial" w:hAnsi="Arial"/>
          <w:sz w:val="20"/>
          <w:szCs w:val="20"/>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ermination without Cause</w:t>
      </w:r>
      <w:r>
        <w:rPr>
          <w:rFonts w:ascii="Arial" w:cs="Arial" w:eastAsia="Arial" w:hAnsi="Arial"/>
          <w:sz w:val="22"/>
          <w:szCs w:val="22"/>
          <w:color w:val="auto"/>
        </w:rPr>
        <w:t>. The Company may terminate the Executive’s employment without Cause.</w:t>
      </w:r>
    </w:p>
    <w:p>
      <w:pPr>
        <w:spacing w:after="0" w:line="179" w:lineRule="exact"/>
        <w:rPr>
          <w:rFonts w:ascii="Arial" w:cs="Arial" w:eastAsia="Arial" w:hAnsi="Arial"/>
          <w:sz w:val="20"/>
          <w:szCs w:val="20"/>
          <w:color w:val="auto"/>
        </w:rPr>
      </w:pPr>
    </w:p>
    <w:p>
      <w:pPr>
        <w:ind w:left="2560" w:hanging="837"/>
        <w:spacing w:after="0"/>
        <w:tabs>
          <w:tab w:leader="none" w:pos="2560" w:val="left"/>
        </w:tabs>
        <w:numPr>
          <w:ilvl w:val="0"/>
          <w:numId w:val="180"/>
        </w:numPr>
        <w:rPr>
          <w:rFonts w:ascii="Arial" w:cs="Arial" w:eastAsia="Arial" w:hAnsi="Arial"/>
          <w:sz w:val="20"/>
          <w:szCs w:val="20"/>
          <w:color w:val="auto"/>
        </w:rPr>
      </w:pPr>
      <w:r>
        <w:rPr>
          <w:rFonts w:ascii="Arial" w:cs="Arial" w:eastAsia="Arial" w:hAnsi="Arial"/>
          <w:sz w:val="22"/>
          <w:szCs w:val="22"/>
          <w:color w:val="auto"/>
        </w:rPr>
        <w:t>R</w:t>
      </w:r>
      <w:r>
        <w:rPr>
          <w:rFonts w:ascii="Arial" w:cs="Arial" w:eastAsia="Arial" w:hAnsi="Arial"/>
          <w:sz w:val="22"/>
          <w:szCs w:val="22"/>
          <w:u w:val="single" w:color="auto"/>
          <w:color w:val="auto"/>
        </w:rPr>
        <w:t>esignation  for  Good  Reason</w:t>
      </w:r>
      <w:r>
        <w:rPr>
          <w:rFonts w:ascii="Arial" w:cs="Arial" w:eastAsia="Arial" w:hAnsi="Arial"/>
          <w:sz w:val="22"/>
          <w:szCs w:val="22"/>
          <w:color w:val="auto"/>
        </w:rPr>
        <w:t>.The Executive may resign from</w:t>
      </w:r>
    </w:p>
    <w:p>
      <w:pPr>
        <w:jc w:val="both"/>
        <w:ind w:left="880"/>
        <w:spacing w:after="0" w:line="273" w:lineRule="auto"/>
        <w:rPr>
          <w:sz w:val="20"/>
          <w:szCs w:val="20"/>
          <w:color w:val="auto"/>
        </w:rPr>
      </w:pPr>
      <w:r>
        <w:rPr>
          <w:rFonts w:ascii="Arial" w:cs="Arial" w:eastAsia="Arial" w:hAnsi="Arial"/>
          <w:sz w:val="19"/>
          <w:szCs w:val="19"/>
          <w:color w:val="auto"/>
        </w:rPr>
        <w:t>employment for Good Reason. Executive’s resignation will not be deemed to be for Good Reason if Executive has consented to the condition claimed to constitute Good Reason, nor will Executive’s resignation be deemed to be for Good Reason, unless Executive has provided a written Notice of Termination (defined in Section 4(b) below) to the Company specifying the event or condition claimed to constitute Good Reason within ninety (90) days following the initial existence of such event or condition, and the Company has, after receipt of such notice of Good Reason from Executive, failed to cure or correct such condition or event within thirty (30) days following the Company’s receipt of Executive’s Notice of Termination evidencing intent to resign for Good Reason.</w:t>
      </w:r>
    </w:p>
    <w:p>
      <w:pPr>
        <w:spacing w:after="0" w:line="159" w:lineRule="exact"/>
        <w:rPr>
          <w:sz w:val="20"/>
          <w:szCs w:val="20"/>
          <w:color w:val="auto"/>
        </w:rPr>
      </w:pPr>
    </w:p>
    <w:p>
      <w:pPr>
        <w:ind w:left="880" w:right="2100" w:firstLine="843"/>
        <w:spacing w:after="0" w:line="239" w:lineRule="auto"/>
        <w:tabs>
          <w:tab w:leader="none" w:pos="2551" w:val="left"/>
        </w:tabs>
        <w:numPr>
          <w:ilvl w:val="0"/>
          <w:numId w:val="181"/>
        </w:numPr>
        <w:rPr>
          <w:rFonts w:ascii="Arial" w:cs="Arial" w:eastAsia="Arial" w:hAnsi="Arial"/>
          <w:sz w:val="20"/>
          <w:szCs w:val="20"/>
          <w:color w:val="auto"/>
        </w:rPr>
      </w:pPr>
      <w:r>
        <w:rPr>
          <w:rFonts w:ascii="Arial" w:cs="Arial" w:eastAsia="Arial" w:hAnsi="Arial"/>
          <w:sz w:val="22"/>
          <w:szCs w:val="22"/>
          <w:color w:val="auto"/>
        </w:rPr>
        <w:t>R</w:t>
      </w:r>
      <w:r>
        <w:rPr>
          <w:rFonts w:ascii="Arial" w:cs="Arial" w:eastAsia="Arial" w:hAnsi="Arial"/>
          <w:sz w:val="22"/>
          <w:szCs w:val="22"/>
          <w:u w:val="single" w:color="auto"/>
          <w:color w:val="auto"/>
        </w:rPr>
        <w:t>esignation without Good Reason</w:t>
      </w:r>
      <w:r>
        <w:rPr>
          <w:rFonts w:ascii="Arial" w:cs="Arial" w:eastAsia="Arial" w:hAnsi="Arial"/>
          <w:sz w:val="22"/>
          <w:szCs w:val="22"/>
          <w:color w:val="auto"/>
        </w:rPr>
        <w:t>. The Executive may resign from the Executive’s employment without Good Reason.</w:t>
      </w:r>
    </w:p>
    <w:p>
      <w:pPr>
        <w:spacing w:after="0" w:line="179" w:lineRule="exact"/>
        <w:rPr>
          <w:rFonts w:ascii="Arial" w:cs="Arial" w:eastAsia="Arial" w:hAnsi="Arial"/>
          <w:sz w:val="20"/>
          <w:szCs w:val="20"/>
          <w:color w:val="auto"/>
        </w:rPr>
      </w:pPr>
    </w:p>
    <w:p>
      <w:pPr>
        <w:ind w:left="2560" w:hanging="837"/>
        <w:spacing w:after="0"/>
        <w:tabs>
          <w:tab w:leader="none" w:pos="2560" w:val="left"/>
        </w:tabs>
        <w:numPr>
          <w:ilvl w:val="0"/>
          <w:numId w:val="181"/>
        </w:numPr>
        <w:rPr>
          <w:rFonts w:ascii="Arial" w:cs="Arial" w:eastAsia="Arial" w:hAnsi="Arial"/>
          <w:sz w:val="20"/>
          <w:szCs w:val="20"/>
          <w:color w:val="auto"/>
        </w:rPr>
      </w:pPr>
      <w:r>
        <w:rPr>
          <w:rFonts w:ascii="Arial" w:cs="Arial" w:eastAsia="Arial" w:hAnsi="Arial"/>
          <w:sz w:val="22"/>
          <w:szCs w:val="22"/>
          <w:color w:val="auto"/>
        </w:rPr>
        <w:t>N</w:t>
      </w:r>
      <w:r>
        <w:rPr>
          <w:rFonts w:ascii="Arial" w:cs="Arial" w:eastAsia="Arial" w:hAnsi="Arial"/>
          <w:sz w:val="22"/>
          <w:szCs w:val="22"/>
          <w:u w:val="single" w:color="auto"/>
          <w:color w:val="auto"/>
        </w:rPr>
        <w:t>on-Extension of Term by the Company</w:t>
      </w:r>
      <w:r>
        <w:rPr>
          <w:rFonts w:ascii="Arial" w:cs="Arial" w:eastAsia="Arial" w:hAnsi="Arial"/>
          <w:sz w:val="22"/>
          <w:szCs w:val="22"/>
          <w:color w:val="auto"/>
        </w:rPr>
        <w:t>. The Company may give notice</w:t>
      </w:r>
    </w:p>
    <w:p>
      <w:pPr>
        <w:spacing w:after="0" w:line="20" w:lineRule="exact"/>
        <w:rPr>
          <w:sz w:val="20"/>
          <w:szCs w:val="20"/>
          <w:color w:val="auto"/>
        </w:rPr>
      </w:pPr>
    </w:p>
    <w:p>
      <w:pPr>
        <w:ind w:left="880" w:right="20"/>
        <w:spacing w:after="0" w:line="236" w:lineRule="auto"/>
        <w:rPr>
          <w:sz w:val="20"/>
          <w:szCs w:val="20"/>
          <w:color w:val="auto"/>
        </w:rPr>
      </w:pPr>
      <w:r>
        <w:rPr>
          <w:rFonts w:ascii="Arial" w:cs="Arial" w:eastAsia="Arial" w:hAnsi="Arial"/>
          <w:sz w:val="22"/>
          <w:szCs w:val="22"/>
          <w:color w:val="auto"/>
        </w:rPr>
        <w:t>of non-extension to the Executive pursuant to Section 2(b). For the avoidance of doubt, non-extension of the Term by the Company shall not constitute termination by the Company without Cause.</w:t>
      </w:r>
    </w:p>
    <w:p>
      <w:pPr>
        <w:spacing w:after="0" w:line="187" w:lineRule="exact"/>
        <w:rPr>
          <w:sz w:val="20"/>
          <w:szCs w:val="20"/>
          <w:color w:val="auto"/>
        </w:rPr>
      </w:pPr>
    </w:p>
    <w:p>
      <w:pPr>
        <w:ind w:left="880" w:right="2060" w:firstLine="843"/>
        <w:spacing w:after="0" w:line="239" w:lineRule="auto"/>
        <w:tabs>
          <w:tab w:leader="none" w:pos="2551" w:val="left"/>
        </w:tabs>
        <w:numPr>
          <w:ilvl w:val="0"/>
          <w:numId w:val="182"/>
        </w:numPr>
        <w:rPr>
          <w:rFonts w:ascii="Arial" w:cs="Arial" w:eastAsia="Arial" w:hAnsi="Arial"/>
          <w:sz w:val="20"/>
          <w:szCs w:val="20"/>
          <w:color w:val="auto"/>
        </w:rPr>
      </w:pPr>
      <w:r>
        <w:rPr>
          <w:rFonts w:ascii="Arial" w:cs="Arial" w:eastAsia="Arial" w:hAnsi="Arial"/>
          <w:sz w:val="22"/>
          <w:szCs w:val="22"/>
          <w:color w:val="auto"/>
        </w:rPr>
        <w:t>N</w:t>
      </w:r>
      <w:r>
        <w:rPr>
          <w:rFonts w:ascii="Arial" w:cs="Arial" w:eastAsia="Arial" w:hAnsi="Arial"/>
          <w:sz w:val="22"/>
          <w:szCs w:val="22"/>
          <w:u w:val="single" w:color="auto"/>
          <w:color w:val="auto"/>
        </w:rPr>
        <w:t>on-Extension of Term by the Executive</w:t>
      </w:r>
      <w:r>
        <w:rPr>
          <w:rFonts w:ascii="Arial" w:cs="Arial" w:eastAsia="Arial" w:hAnsi="Arial"/>
          <w:sz w:val="22"/>
          <w:szCs w:val="22"/>
          <w:color w:val="auto"/>
        </w:rPr>
        <w:t>. The Executive may give notice of non-extension to the Company pursuant to Section 2(b).</w:t>
      </w:r>
    </w:p>
    <w:p>
      <w:pPr>
        <w:spacing w:after="0" w:line="184" w:lineRule="exact"/>
        <w:rPr>
          <w:rFonts w:ascii="Arial" w:cs="Arial" w:eastAsia="Arial" w:hAnsi="Arial"/>
          <w:sz w:val="20"/>
          <w:szCs w:val="20"/>
          <w:color w:val="auto"/>
        </w:rPr>
      </w:pPr>
    </w:p>
    <w:p>
      <w:pPr>
        <w:ind w:left="880" w:right="2320" w:firstLine="843"/>
        <w:spacing w:after="0" w:line="313" w:lineRule="auto"/>
        <w:tabs>
          <w:tab w:leader="none" w:pos="2551" w:val="left"/>
        </w:tabs>
        <w:numPr>
          <w:ilvl w:val="0"/>
          <w:numId w:val="182"/>
        </w:numPr>
        <w:rPr>
          <w:rFonts w:ascii="Arial" w:cs="Arial" w:eastAsia="Arial" w:hAnsi="Arial"/>
          <w:sz w:val="18"/>
          <w:szCs w:val="18"/>
          <w:color w:val="auto"/>
        </w:rPr>
      </w:pPr>
      <w:r>
        <w:rPr>
          <w:rFonts w:ascii="Arial" w:cs="Arial" w:eastAsia="Arial" w:hAnsi="Arial"/>
          <w:sz w:val="19"/>
          <w:szCs w:val="19"/>
          <w:color w:val="auto"/>
        </w:rPr>
        <w:t>R</w:t>
      </w:r>
      <w:r>
        <w:rPr>
          <w:rFonts w:ascii="Arial" w:cs="Arial" w:eastAsia="Arial" w:hAnsi="Arial"/>
          <w:sz w:val="19"/>
          <w:szCs w:val="19"/>
          <w:u w:val="single" w:color="auto"/>
          <w:color w:val="auto"/>
        </w:rPr>
        <w:t>esignation following a Change in Control</w:t>
      </w:r>
      <w:r>
        <w:rPr>
          <w:rFonts w:ascii="Arial" w:cs="Arial" w:eastAsia="Arial" w:hAnsi="Arial"/>
          <w:sz w:val="19"/>
          <w:szCs w:val="19"/>
          <w:color w:val="auto"/>
        </w:rPr>
        <w:t>. The Executive may resign from the Executive’s employment within sixty (60) days following a Change in Control.</w:t>
      </w:r>
    </w:p>
    <w:p>
      <w:pPr>
        <w:spacing w:after="0" w:line="20" w:lineRule="exact"/>
        <w:rPr>
          <w:sz w:val="20"/>
          <w:szCs w:val="20"/>
          <w:color w:val="auto"/>
        </w:rPr>
      </w:pPr>
    </w:p>
    <w:p>
      <w:pPr>
        <w:spacing w:after="0" w:line="93" w:lineRule="exact"/>
        <w:rPr>
          <w:sz w:val="20"/>
          <w:szCs w:val="20"/>
          <w:color w:val="auto"/>
        </w:rPr>
      </w:pPr>
    </w:p>
    <w:p>
      <w:pPr>
        <w:ind w:left="1720" w:hanging="834"/>
        <w:spacing w:after="0"/>
        <w:tabs>
          <w:tab w:leader="none" w:pos="17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N</w:t>
      </w:r>
      <w:r>
        <w:rPr>
          <w:rFonts w:ascii="Arial" w:cs="Arial" w:eastAsia="Arial" w:hAnsi="Arial"/>
          <w:sz w:val="22"/>
          <w:szCs w:val="22"/>
          <w:u w:val="single" w:color="auto"/>
          <w:color w:val="auto"/>
        </w:rPr>
        <w:t>otice of Termination</w:t>
      </w:r>
      <w:r>
        <w:rPr>
          <w:rFonts w:ascii="Arial" w:cs="Arial" w:eastAsia="Arial" w:hAnsi="Arial"/>
          <w:sz w:val="22"/>
          <w:szCs w:val="22"/>
          <w:color w:val="auto"/>
        </w:rPr>
        <w:t>. Any termination of the Executive’s employment by the</w:t>
      </w:r>
    </w:p>
    <w:p>
      <w:pPr>
        <w:spacing w:after="0" w:line="20" w:lineRule="exact"/>
        <w:rPr>
          <w:sz w:val="20"/>
          <w:szCs w:val="20"/>
          <w:color w:val="auto"/>
        </w:rPr>
      </w:pPr>
    </w:p>
    <w:p>
      <w:pPr>
        <w:jc w:val="both"/>
        <w:ind w:left="40"/>
        <w:spacing w:after="0" w:line="233" w:lineRule="auto"/>
        <w:rPr>
          <w:sz w:val="20"/>
          <w:szCs w:val="20"/>
          <w:color w:val="auto"/>
        </w:rPr>
      </w:pPr>
      <w:r>
        <w:rPr>
          <w:rFonts w:ascii="Arial" w:cs="Arial" w:eastAsia="Arial" w:hAnsi="Arial"/>
          <w:sz w:val="22"/>
          <w:szCs w:val="22"/>
          <w:color w:val="auto"/>
        </w:rPr>
        <w:t>Company or by the Executive under this Section 4 (other than a termination pursuant to Section 4(a)(i) above) shall be communicated by a written notice to the other party hereto: (i) indicating the specific termination provision in this Agreement relied upon, (ii) except with respect to a termination pursuant to Section 4(a)(iv), (vi), (vii), (viii), or (ix), setting forth in reasonable detail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86" w:right="479" w:bottom="1440" w:gutter="0" w:footer="0" w:header="0"/>
        </w:sectPr>
      </w:pPr>
    </w:p>
    <w:bookmarkStart w:id="190" w:name="page191"/>
    <w:bookmarkEnd w:id="190"/>
    <w:p>
      <w:pPr>
        <w:jc w:val="both"/>
        <w:ind w:left="40"/>
        <w:spacing w:after="0" w:line="245" w:lineRule="auto"/>
        <w:rPr>
          <w:sz w:val="20"/>
          <w:szCs w:val="20"/>
          <w:color w:val="auto"/>
        </w:rPr>
      </w:pPr>
      <w:r>
        <w:rPr>
          <w:rFonts w:ascii="Arial" w:cs="Arial" w:eastAsia="Arial" w:hAnsi="Arial"/>
          <w:sz w:val="21"/>
          <w:szCs w:val="21"/>
          <w:color w:val="auto"/>
        </w:rPr>
        <w:t>the facts and circumstances claimed to provide a basis for termination of the Executive’s employment under the provision so indicated, and (iii) specifying a Date of Termination which, if submitted by the Executive (or, in the case of a termination described in Section 4(a)(ii), by the Company), shall be at least thirty (30) days following the date of such notice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p</w:t>
      </w:r>
      <w:r>
        <w:rPr>
          <w:rFonts w:ascii="Arial" w:cs="Arial" w:eastAsia="Arial" w:hAnsi="Arial"/>
          <w:sz w:val="21"/>
          <w:szCs w:val="21"/>
          <w:u w:val="single" w:color="auto"/>
          <w:color w:val="auto"/>
        </w:rPr>
        <w:t>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Notice of Termination delivered by the Company</w:t>
      </w:r>
    </w:p>
    <w:p>
      <w:pPr>
        <w:spacing w:after="0" w:line="20" w:lineRule="exact"/>
        <w:rPr>
          <w:sz w:val="20"/>
          <w:szCs w:val="20"/>
          <w:color w:val="auto"/>
        </w:rPr>
      </w:pPr>
    </w:p>
    <w:p>
      <w:pPr>
        <w:jc w:val="both"/>
        <w:ind w:left="40" w:right="20"/>
        <w:spacing w:after="0" w:line="271" w:lineRule="auto"/>
        <w:rPr>
          <w:sz w:val="20"/>
          <w:szCs w:val="20"/>
          <w:color w:val="auto"/>
        </w:rPr>
      </w:pPr>
      <w:r>
        <w:rPr>
          <w:rFonts w:ascii="Arial" w:cs="Arial" w:eastAsia="Arial" w:hAnsi="Arial"/>
          <w:sz w:val="19"/>
          <w:szCs w:val="19"/>
          <w:color w:val="auto"/>
        </w:rPr>
        <w:t xml:space="preserve">pursuant to Section 4(a)(ii) shall not be required to specify a Date of Termination, in which case the Date of Termination shall be determined pursuant to Section 4(a)(ii);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that the Executive delivers a Notice of Termination (other than a notice of non- extension under Section 4(a)(viii) above)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may provide for a Date of Termination on the date the Executive receives the Notice of Termination, or any date thereafter elected by the Company in its sole discretion. The failure by the Company or the Executive to set forth in the Notice of Termination any fact or circumstance which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47" w:lineRule="exact"/>
        <w:rPr>
          <w:sz w:val="20"/>
          <w:szCs w:val="20"/>
          <w:color w:val="auto"/>
        </w:rPr>
      </w:pPr>
    </w:p>
    <w:p>
      <w:pPr>
        <w:ind w:left="1720" w:hanging="834"/>
        <w:spacing w:after="0"/>
        <w:tabs>
          <w:tab w:leader="none" w:pos="17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w:t>
      </w:r>
      <w:r>
        <w:rPr>
          <w:rFonts w:ascii="Arial" w:cs="Arial" w:eastAsia="Arial" w:hAnsi="Arial"/>
          <w:sz w:val="22"/>
          <w:szCs w:val="22"/>
          <w:u w:val="single" w:color="auto"/>
          <w:color w:val="auto"/>
        </w:rPr>
        <w:t>ost-Termination Assistance</w:t>
      </w:r>
      <w:r>
        <w:rPr>
          <w:rFonts w:ascii="Arial" w:cs="Arial" w:eastAsia="Arial" w:hAnsi="Arial"/>
          <w:sz w:val="22"/>
          <w:szCs w:val="22"/>
          <w:color w:val="auto"/>
        </w:rPr>
        <w:t>. Executive agrees to make reasonable efforts to</w:t>
      </w:r>
    </w:p>
    <w:p>
      <w:pPr>
        <w:spacing w:after="0" w:line="8" w:lineRule="exact"/>
        <w:rPr>
          <w:sz w:val="20"/>
          <w:szCs w:val="20"/>
          <w:color w:val="auto"/>
        </w:rPr>
      </w:pPr>
    </w:p>
    <w:p>
      <w:pPr>
        <w:jc w:val="both"/>
        <w:ind w:left="40" w:right="20"/>
        <w:spacing w:after="0" w:line="233" w:lineRule="auto"/>
        <w:rPr>
          <w:sz w:val="20"/>
          <w:szCs w:val="20"/>
          <w:color w:val="auto"/>
        </w:rPr>
      </w:pPr>
      <w:r>
        <w:rPr>
          <w:rFonts w:ascii="Arial" w:cs="Arial" w:eastAsia="Arial" w:hAnsi="Arial"/>
          <w:sz w:val="22"/>
          <w:szCs w:val="22"/>
          <w:color w:val="auto"/>
        </w:rPr>
        <w:t>assist the Company after the termination of Executive’s employment, including but not limited to, transitioning of Executive’s job duties as well as assisting with any legal proceeding, lawsuit, or claim involving matters occurring during Executive’s employment with the Company. The Company shall reimburse Executive for reasonable expenses incurred in connection with such cooperation.</w:t>
      </w:r>
    </w:p>
    <w:p>
      <w:pPr>
        <w:spacing w:after="0" w:line="174" w:lineRule="exact"/>
        <w:rPr>
          <w:sz w:val="20"/>
          <w:szCs w:val="20"/>
          <w:color w:val="auto"/>
        </w:rPr>
      </w:pPr>
    </w:p>
    <w:p>
      <w:pPr>
        <w:ind w:left="1720" w:hanging="834"/>
        <w:spacing w:after="0"/>
        <w:tabs>
          <w:tab w:leader="none" w:pos="17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eemed Resignations</w:t>
      </w:r>
      <w:r>
        <w:rPr>
          <w:rFonts w:ascii="Arial" w:cs="Arial" w:eastAsia="Arial" w:hAnsi="Arial"/>
          <w:sz w:val="22"/>
          <w:szCs w:val="22"/>
          <w:color w:val="auto"/>
        </w:rPr>
        <w:t>. Unless otherwise agreed to in writing by the Company and</w:t>
      </w:r>
    </w:p>
    <w:p>
      <w:pPr>
        <w:spacing w:after="0" w:line="20" w:lineRule="exact"/>
        <w:rPr>
          <w:sz w:val="20"/>
          <w:szCs w:val="20"/>
          <w:color w:val="auto"/>
        </w:rPr>
      </w:pPr>
    </w:p>
    <w:p>
      <w:pPr>
        <w:jc w:val="both"/>
        <w:ind w:left="40" w:right="20"/>
        <w:spacing w:after="0" w:line="243" w:lineRule="auto"/>
        <w:rPr>
          <w:sz w:val="20"/>
          <w:szCs w:val="20"/>
          <w:color w:val="auto"/>
        </w:rPr>
      </w:pPr>
      <w:r>
        <w:rPr>
          <w:rFonts w:ascii="Arial" w:cs="Arial" w:eastAsia="Arial" w:hAnsi="Arial"/>
          <w:sz w:val="21"/>
          <w:szCs w:val="21"/>
          <w:color w:val="auto"/>
        </w:rPr>
        <w:t>the Executive prior to the termination of the Executive's employment, any termination of the Executive's employment shall, without changing the basis for termination of employment or the impact of such termination on the Executive's rights, if any, under this Agreement, constitute (i) an automatic resignation of the Executive from any position held as an officer of the Company and any of its Affiliates and (ii) an automatic resignation of the Executive from the Board of Managers of the General Partner (if applicable),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the Executive serves as the Company's or such Affiliate's designee or other representative.</w:t>
      </w:r>
    </w:p>
    <w:p>
      <w:pPr>
        <w:spacing w:after="0" w:line="167" w:lineRule="exact"/>
        <w:rPr>
          <w:sz w:val="20"/>
          <w:szCs w:val="20"/>
          <w:color w:val="auto"/>
        </w:rPr>
      </w:pPr>
    </w:p>
    <w:p>
      <w:pPr>
        <w:ind w:left="880" w:hanging="844"/>
        <w:spacing w:after="0"/>
        <w:tabs>
          <w:tab w:leader="none" w:pos="88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ompany Obligations Upon Termination of Employment</w:t>
      </w:r>
      <w:r>
        <w:rPr>
          <w:rFonts w:ascii="Arial" w:cs="Arial" w:eastAsia="Arial" w:hAnsi="Arial"/>
          <w:sz w:val="22"/>
          <w:szCs w:val="22"/>
          <w:color w:val="auto"/>
        </w:rPr>
        <w:t>.</w:t>
      </w:r>
    </w:p>
    <w:p>
      <w:pPr>
        <w:spacing w:after="0" w:line="20" w:lineRule="exact"/>
        <w:rPr>
          <w:sz w:val="20"/>
          <w:szCs w:val="20"/>
          <w:color w:val="auto"/>
        </w:rPr>
      </w:pPr>
    </w:p>
    <w:p>
      <w:pPr>
        <w:spacing w:after="0" w:line="179" w:lineRule="exact"/>
        <w:rPr>
          <w:sz w:val="20"/>
          <w:szCs w:val="20"/>
          <w:color w:val="auto"/>
        </w:rPr>
      </w:pPr>
    </w:p>
    <w:p>
      <w:pPr>
        <w:ind w:left="1720" w:hanging="834"/>
        <w:spacing w:after="0"/>
        <w:tabs>
          <w:tab w:leader="none" w:pos="172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Upon a termination of the Executive’s employment for any reason,</w:t>
      </w:r>
    </w:p>
    <w:p>
      <w:pPr>
        <w:spacing w:after="0" w:line="8" w:lineRule="exact"/>
        <w:rPr>
          <w:sz w:val="20"/>
          <w:szCs w:val="20"/>
          <w:color w:val="auto"/>
        </w:rPr>
      </w:pPr>
    </w:p>
    <w:p>
      <w:pPr>
        <w:jc w:val="both"/>
        <w:ind w:left="40" w:right="20"/>
        <w:spacing w:after="0" w:line="245" w:lineRule="auto"/>
        <w:rPr>
          <w:sz w:val="20"/>
          <w:szCs w:val="20"/>
          <w:color w:val="auto"/>
        </w:rPr>
      </w:pPr>
      <w:r>
        <w:rPr>
          <w:rFonts w:ascii="Arial" w:cs="Arial" w:eastAsia="Arial" w:hAnsi="Arial"/>
          <w:sz w:val="21"/>
          <w:szCs w:val="21"/>
          <w:color w:val="auto"/>
        </w:rPr>
        <w:t>the Executive (or the Executive’s estate) shall be entitled to receive: (i) any portion of the Executive’s Annual Base Salary through the Date of Termination not theretofore paid, (ii) any expenses owed to the Executive under Section 3(e), (iii) any accrued but unused PTO pursuant to Section 3(d), and (iv) any amount arising from the Executive’s participation in, or benefits under, any employee benefit plans, programs or arrangements under Section 3(c), which amounts shall be payable in accordance with the terms and conditions of such employee benefit plans,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00" w:top="172" w:right="459" w:bottom="1440" w:gutter="0" w:footer="0" w:header="0"/>
        </w:sectPr>
      </w:pPr>
    </w:p>
    <w:bookmarkStart w:id="191" w:name="page192"/>
    <w:bookmarkEnd w:id="191"/>
    <w:p>
      <w:pPr>
        <w:jc w:val="both"/>
        <w:ind w:left="40"/>
        <w:spacing w:after="0" w:line="279" w:lineRule="auto"/>
        <w:rPr>
          <w:sz w:val="20"/>
          <w:szCs w:val="20"/>
          <w:color w:val="auto"/>
        </w:rPr>
      </w:pPr>
      <w:r>
        <w:rPr>
          <w:rFonts w:ascii="Arial" w:cs="Arial" w:eastAsia="Arial" w:hAnsi="Arial"/>
          <w:sz w:val="19"/>
          <w:szCs w:val="19"/>
          <w:color w:val="auto"/>
        </w:rPr>
        <w:t>programs or arrangements. Any Annual Bonus earned for any calendar year completed prior to the Date of Termination, but unpaid prior to such date, and any Prorated Termination Bonus owed pursuant to the last sentence of Section 3(b), shall be paid within sixty (60) days after the Date of Termination (but in any event on or prior to March 15 of the calendar year immediately following such completed calendar year with respect to which such Annual Bonus or Prorated Termination Bonus was earned). Except as otherwise set forth in Section 5(b) below, the payments and benefits described in this Section 5(a) shall be the only payments and benefits payable in the event of the Executive’s termination of employment for any reason.</w:t>
      </w:r>
    </w:p>
    <w:p>
      <w:pPr>
        <w:spacing w:after="0" w:line="137" w:lineRule="exact"/>
        <w:rPr>
          <w:sz w:val="20"/>
          <w:szCs w:val="20"/>
          <w:color w:val="auto"/>
        </w:rPr>
      </w:pPr>
    </w:p>
    <w:p>
      <w:pPr>
        <w:ind w:left="1720" w:hanging="834"/>
        <w:spacing w:after="0"/>
        <w:tabs>
          <w:tab w:leader="none" w:pos="17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w:t>
      </w:r>
      <w:r>
        <w:rPr>
          <w:rFonts w:ascii="Arial" w:cs="Arial" w:eastAsia="Arial" w:hAnsi="Arial"/>
          <w:sz w:val="22"/>
          <w:szCs w:val="22"/>
          <w:u w:val="single" w:color="auto"/>
          <w:color w:val="auto"/>
        </w:rPr>
        <w:t>everance Payment</w:t>
      </w:r>
    </w:p>
    <w:p>
      <w:pPr>
        <w:spacing w:after="0" w:line="206" w:lineRule="exact"/>
        <w:rPr>
          <w:sz w:val="20"/>
          <w:szCs w:val="20"/>
          <w:color w:val="auto"/>
        </w:rPr>
      </w:pPr>
    </w:p>
    <w:p>
      <w:pPr>
        <w:ind w:left="2560" w:hanging="837"/>
        <w:spacing w:after="0"/>
        <w:tabs>
          <w:tab w:leader="none" w:pos="2560" w:val="left"/>
        </w:tabs>
        <w:numPr>
          <w:ilvl w:val="0"/>
          <w:numId w:val="189"/>
        </w:numPr>
        <w:rPr>
          <w:rFonts w:ascii="Arial" w:cs="Arial" w:eastAsia="Arial" w:hAnsi="Arial"/>
          <w:sz w:val="20"/>
          <w:szCs w:val="20"/>
          <w:color w:val="auto"/>
        </w:rPr>
      </w:pPr>
      <w:r>
        <w:rPr>
          <w:rFonts w:ascii="Arial" w:cs="Arial" w:eastAsia="Arial" w:hAnsi="Arial"/>
          <w:sz w:val="22"/>
          <w:szCs w:val="22"/>
          <w:color w:val="auto"/>
        </w:rPr>
        <w:t>In addition to the payments and benefits described in Section 5(a) above,</w:t>
      </w:r>
    </w:p>
    <w:p>
      <w:pPr>
        <w:spacing w:after="0" w:line="8" w:lineRule="exact"/>
        <w:rPr>
          <w:sz w:val="20"/>
          <w:szCs w:val="20"/>
          <w:color w:val="auto"/>
        </w:rPr>
      </w:pPr>
    </w:p>
    <w:p>
      <w:pPr>
        <w:jc w:val="both"/>
        <w:ind w:left="880"/>
        <w:spacing w:after="0" w:line="243" w:lineRule="auto"/>
        <w:rPr>
          <w:sz w:val="20"/>
          <w:szCs w:val="20"/>
          <w:color w:val="auto"/>
        </w:rPr>
      </w:pPr>
      <w:r>
        <w:rPr>
          <w:rFonts w:ascii="Arial" w:cs="Arial" w:eastAsia="Arial" w:hAnsi="Arial"/>
          <w:sz w:val="21"/>
          <w:szCs w:val="21"/>
          <w:color w:val="auto"/>
        </w:rPr>
        <w:t xml:space="preserve">if the Executive’s employment shall be terminated by the Company without Cause pursuant to Section 4(a)(iv), by the Executive’s resignation for Good Reason pursuant to Section 4(a)(v), or due to non-extension of the Initial Term or any Extension Term by the Company pursuant to Section 4(a)(vii), the Company shall pay to Executive severance in the total gross amount equal to </w:t>
      </w:r>
      <w:r>
        <w:rPr>
          <w:rFonts w:ascii="Arial" w:cs="Arial" w:eastAsia="Arial" w:hAnsi="Arial"/>
          <w:sz w:val="21"/>
          <w:szCs w:val="21"/>
          <w:b w:val="1"/>
          <w:bCs w:val="1"/>
          <w:color w:val="auto"/>
        </w:rPr>
        <w:t>o</w:t>
      </w:r>
      <w:r>
        <w:rPr>
          <w:rFonts w:ascii="Arial" w:cs="Arial" w:eastAsia="Arial" w:hAnsi="Arial"/>
          <w:sz w:val="21"/>
          <w:szCs w:val="21"/>
          <w:b w:val="1"/>
          <w:bCs w:val="1"/>
          <w:u w:val="single" w:color="auto"/>
          <w:color w:val="auto"/>
        </w:rPr>
        <w:t>ne and one-half (1.5) times</w:t>
      </w:r>
      <w:r>
        <w:rPr>
          <w:rFonts w:ascii="Arial" w:cs="Arial" w:eastAsia="Arial" w:hAnsi="Arial"/>
          <w:sz w:val="21"/>
          <w:szCs w:val="21"/>
          <w:color w:val="auto"/>
        </w:rPr>
        <w:t xml:space="preserve"> the sum of (1) the Annual Base Salary for the year in which the Date of Termination occurs, and (2) the higher of the target Annual Bonus or the Annual Bonus paid to the Executive in respect of the calendar year immediately preceding the year in which the Date of Termination occurs (the “Severance Payment”).</w:t>
      </w:r>
    </w:p>
    <w:p>
      <w:pPr>
        <w:spacing w:after="0" w:line="187" w:lineRule="exact"/>
        <w:rPr>
          <w:sz w:val="20"/>
          <w:szCs w:val="20"/>
          <w:color w:val="auto"/>
        </w:rPr>
      </w:pPr>
    </w:p>
    <w:p>
      <w:pPr>
        <w:ind w:left="1660"/>
        <w:spacing w:after="0"/>
        <w:tabs>
          <w:tab w:leader="none" w:pos="39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9"/>
          <w:szCs w:val="19"/>
          <w:color w:val="auto"/>
        </w:rPr>
        <w:t>The Severance Payment shall be in lieu of notice or any other severance benefits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to which the Executive might otherwise be entitled. Notwithstanding anything herein to the contrary, (A) no portion</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of the Severance Payment shall be paid unless, on or prior to the sixtieth (60th) day following the Date of</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Termination, the Executive timely executes a general waiver and release of claims agreement, in a form substantially</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similar to that attached to this Agreement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which Release shall not have been revoked</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by the Executive prior to the expiration of the period (if any) during which any portion of such Release is revocable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under applicable law, and (B) as of the first date on which the Executive violates any covenant contained in Section</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7, any remaining unpaid portion of the Severance Payment shall thereupon be forfeited. Subject to the provisions of</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9, the Severance Payment shall be paid in equal installments during the Severance Period, at the same time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and in the same manner as the Annual Base Salary would have been paid had the Executive remained in active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employment during the Severance Period, in accordance with the Company’s normal payroll practices in effect on</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installment that would otherwise have been paid prior to the first normal</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payroll payment date occurring on or after the sixtieth (60th) day following the Date of Termination (such payroll</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date,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w:t>
      </w:r>
      <w:r>
        <w:rPr>
          <w:rFonts w:ascii="Arial" w:cs="Arial" w:eastAsia="Arial" w:hAnsi="Arial"/>
          <w:sz w:val="19"/>
          <w:szCs w:val="19"/>
          <w:u w:val="single" w:color="auto"/>
          <w:color w:val="auto"/>
        </w:rPr>
        <w:t>ayment Date</w:t>
      </w:r>
      <w:r>
        <w:rPr>
          <w:rFonts w:ascii="Arial" w:cs="Arial" w:eastAsia="Arial" w:hAnsi="Arial"/>
          <w:sz w:val="19"/>
          <w:szCs w:val="19"/>
          <w:color w:val="auto"/>
        </w:rPr>
        <w:t>”) shall instead be paid on the First Payment Date. For purposes of Section 409A</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(including, without limitation, for purposes of Section 1.409A-2(b)(2)(iii) of the Department of Treasury</w:t>
      </w:r>
    </w:p>
    <w:p>
      <w:pPr>
        <w:ind w:left="880"/>
        <w:spacing w:after="0"/>
        <w:rPr>
          <w:sz w:val="20"/>
          <w:szCs w:val="20"/>
          <w:color w:val="auto"/>
        </w:rPr>
      </w:pPr>
      <w:r>
        <w:rPr>
          <w:rFonts w:ascii="Arial" w:cs="Arial" w:eastAsia="Arial" w:hAnsi="Arial"/>
          <w:sz w:val="19"/>
          <w:szCs w:val="19"/>
          <w:color w:val="auto"/>
        </w:rPr>
        <w:t>Regulations), the Executive’s right to receive the Severance Payment in the form of installment payments (the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Installment Payments</w:t>
      </w:r>
      <w:r>
        <w:rPr>
          <w:rFonts w:ascii="Arial" w:cs="Arial" w:eastAsia="Arial" w:hAnsi="Arial"/>
          <w:sz w:val="19"/>
          <w:szCs w:val="19"/>
          <w:color w:val="auto"/>
        </w:rPr>
        <w:t>”) shall be treated as a right to receive a series of separate payments and, accordingly, each</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Installment Payment shall at all times be considered a separate and distinct payment.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2" w:name="page193"/>
    <w:bookmarkEnd w:id="192"/>
    <w:p>
      <w:pPr>
        <w:ind w:left="40" w:right="60" w:firstLine="825"/>
        <w:spacing w:after="0" w:line="235" w:lineRule="auto"/>
        <w:rPr>
          <w:sz w:val="20"/>
          <w:szCs w:val="20"/>
          <w:color w:val="auto"/>
        </w:rPr>
      </w:pPr>
      <w:r>
        <w:rPr>
          <w:rFonts w:ascii="Arial" w:cs="Arial" w:eastAsia="Arial" w:hAnsi="Arial"/>
          <w:sz w:val="22"/>
          <w:szCs w:val="22"/>
          <w:color w:val="auto"/>
        </w:rPr>
        <w:t>(c) During the lesser of the period during which Executive or a qualifying beneficiary (as defined in Section 607 of ERISA) has in effect an election for post-termination continuation coverage for medical and dental benefits under applicable law, including Section 4980 of the Code (“COBRA”), or the period ending on the 18-month anniversary of the Date of Termination, Executive (or, if applicable, the qualifying beneficiary) shall be entitled to such coverage at an out-of-pocket premium cost that does not exceed the out-of-pocket premium cost applicable to similarly situated active employees (and their eligible dependents).</w:t>
      </w:r>
    </w:p>
    <w:p>
      <w:pPr>
        <w:spacing w:after="0" w:line="188" w:lineRule="exact"/>
        <w:rPr>
          <w:sz w:val="20"/>
          <w:szCs w:val="20"/>
          <w:color w:val="auto"/>
        </w:rPr>
      </w:pPr>
    </w:p>
    <w:p>
      <w:pPr>
        <w:ind w:left="40" w:right="940" w:firstLine="825"/>
        <w:spacing w:after="0" w:line="250" w:lineRule="auto"/>
        <w:rPr>
          <w:sz w:val="20"/>
          <w:szCs w:val="20"/>
          <w:color w:val="auto"/>
        </w:rPr>
      </w:pPr>
      <w:r>
        <w:rPr>
          <w:rFonts w:ascii="Arial" w:cs="Arial" w:eastAsia="Arial" w:hAnsi="Arial"/>
          <w:sz w:val="22"/>
          <w:szCs w:val="22"/>
          <w:color w:val="auto"/>
        </w:rPr>
        <w:t>(d) The provisions of this Section 5 shall supersede in their entirety any severance payment provisions in any severance plan, policy, program or other arrangement maintained by the Company.</w:t>
      </w:r>
    </w:p>
    <w:p>
      <w:pPr>
        <w:spacing w:after="0" w:line="161" w:lineRule="exact"/>
        <w:rPr>
          <w:sz w:val="20"/>
          <w:szCs w:val="20"/>
          <w:color w:val="auto"/>
        </w:rPr>
      </w:pPr>
    </w:p>
    <w:p>
      <w:pPr>
        <w:ind w:left="1720" w:hanging="834"/>
        <w:spacing w:after="0"/>
        <w:tabs>
          <w:tab w:leader="none" w:pos="17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w:t>
      </w:r>
      <w:r>
        <w:rPr>
          <w:rFonts w:ascii="Arial" w:cs="Arial" w:eastAsia="Arial" w:hAnsi="Arial"/>
          <w:sz w:val="22"/>
          <w:szCs w:val="22"/>
          <w:u w:val="single" w:color="auto"/>
          <w:color w:val="auto"/>
        </w:rPr>
        <w:t>echaracterization of Termination</w:t>
      </w:r>
      <w:r>
        <w:rPr>
          <w:rFonts w:ascii="Arial" w:cs="Arial" w:eastAsia="Arial" w:hAnsi="Arial"/>
          <w:sz w:val="22"/>
          <w:szCs w:val="22"/>
          <w:color w:val="auto"/>
        </w:rPr>
        <w:t>. Notwithstanding any other provision of this</w:t>
      </w:r>
    </w:p>
    <w:p>
      <w:pPr>
        <w:spacing w:after="0" w:line="8" w:lineRule="exact"/>
        <w:rPr>
          <w:sz w:val="20"/>
          <w:szCs w:val="20"/>
          <w:color w:val="auto"/>
        </w:rPr>
      </w:pPr>
    </w:p>
    <w:p>
      <w:pPr>
        <w:jc w:val="both"/>
        <w:ind w:left="40"/>
        <w:spacing w:after="0" w:line="243" w:lineRule="auto"/>
        <w:rPr>
          <w:sz w:val="20"/>
          <w:szCs w:val="20"/>
          <w:color w:val="auto"/>
        </w:rPr>
      </w:pPr>
      <w:r>
        <w:rPr>
          <w:rFonts w:ascii="Arial" w:cs="Arial" w:eastAsia="Arial" w:hAnsi="Arial"/>
          <w:sz w:val="21"/>
          <w:szCs w:val="21"/>
          <w:color w:val="auto"/>
        </w:rPr>
        <w:t>Agreement, if following the termination of employment the Company discovers that grounds existed as of the Date of Termination for a termination for Cause, then such termination shall be deemed to be a termination for Cause and Executive shall only be entitled to the payments and benefits provided in Section 5(a). In the event Executive’s termination is reclassified as a termination for Cause pursuant to this Section 5(e), Executive’s termination shall be so treated and classified for all purposes under this Agreement and any other agreements between Executive and the Company, and Executive shall repay to the Company any monies or benefits received by Executive following termination to which Executive would not have been entitled upon being terminated for Cause.</w:t>
      </w:r>
    </w:p>
    <w:p>
      <w:pPr>
        <w:spacing w:after="0" w:line="168" w:lineRule="exact"/>
        <w:rPr>
          <w:sz w:val="20"/>
          <w:szCs w:val="20"/>
          <w:color w:val="auto"/>
        </w:rPr>
      </w:pPr>
    </w:p>
    <w:p>
      <w:pPr>
        <w:ind w:left="880" w:hanging="844"/>
        <w:spacing w:after="0"/>
        <w:tabs>
          <w:tab w:leader="none" w:pos="88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hange in Control</w:t>
      </w:r>
      <w:r>
        <w:rPr>
          <w:rFonts w:ascii="Arial" w:cs="Arial" w:eastAsia="Arial" w:hAnsi="Arial"/>
          <w:sz w:val="22"/>
          <w:szCs w:val="22"/>
          <w:color w:val="auto"/>
        </w:rPr>
        <w:t>.</w:t>
      </w:r>
    </w:p>
    <w:p>
      <w:pPr>
        <w:spacing w:after="0" w:line="20" w:lineRule="exact"/>
        <w:rPr>
          <w:sz w:val="20"/>
          <w:szCs w:val="20"/>
          <w:color w:val="auto"/>
        </w:rPr>
      </w:pPr>
    </w:p>
    <w:p>
      <w:pPr>
        <w:spacing w:after="0" w:line="179" w:lineRule="exact"/>
        <w:rPr>
          <w:sz w:val="20"/>
          <w:szCs w:val="20"/>
          <w:color w:val="auto"/>
        </w:rPr>
      </w:pPr>
    </w:p>
    <w:p>
      <w:pPr>
        <w:ind w:left="1720" w:hanging="834"/>
        <w:spacing w:after="0"/>
        <w:tabs>
          <w:tab w:leader="none" w:pos="17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quity Awards</w:t>
      </w:r>
      <w:r>
        <w:rPr>
          <w:rFonts w:ascii="Arial" w:cs="Arial" w:eastAsia="Arial" w:hAnsi="Arial"/>
          <w:sz w:val="22"/>
          <w:szCs w:val="22"/>
          <w:color w:val="auto"/>
        </w:rPr>
        <w:t>. Notwithstanding anything to the contrary in this Agreement or</w:t>
      </w:r>
    </w:p>
    <w:p>
      <w:pPr>
        <w:spacing w:after="0" w:line="8"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any other agreement, including the LTIP and any award agreement thereunder, all equity awards granted to the Executive under the LTIP and held by the Executive as of immediately prior to a Change in Control, to the extent unvested, shall become fully vested immediately prior to the Change in Control.</w:t>
      </w:r>
    </w:p>
    <w:p>
      <w:pPr>
        <w:spacing w:after="0" w:line="174" w:lineRule="exact"/>
        <w:rPr>
          <w:sz w:val="20"/>
          <w:szCs w:val="20"/>
          <w:color w:val="auto"/>
        </w:rPr>
      </w:pPr>
    </w:p>
    <w:p>
      <w:pPr>
        <w:ind w:left="1720" w:hanging="834"/>
        <w:spacing w:after="0"/>
        <w:tabs>
          <w:tab w:leader="none" w:pos="17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olden Parachute Excise Tax Protection</w:t>
      </w:r>
      <w:r>
        <w:rPr>
          <w:rFonts w:ascii="Arial" w:cs="Arial" w:eastAsia="Arial" w:hAnsi="Arial"/>
          <w:sz w:val="22"/>
          <w:szCs w:val="22"/>
          <w:color w:val="auto"/>
        </w:rPr>
        <w:t>. Notwithstanding any provision of this</w:t>
      </w:r>
    </w:p>
    <w:p>
      <w:pPr>
        <w:spacing w:after="0" w:line="20" w:lineRule="exact"/>
        <w:rPr>
          <w:sz w:val="20"/>
          <w:szCs w:val="20"/>
          <w:color w:val="auto"/>
        </w:rPr>
      </w:pPr>
    </w:p>
    <w:p>
      <w:pPr>
        <w:jc w:val="both"/>
        <w:ind w:left="40"/>
        <w:spacing w:after="0" w:line="270" w:lineRule="auto"/>
        <w:rPr>
          <w:sz w:val="20"/>
          <w:szCs w:val="20"/>
          <w:color w:val="auto"/>
        </w:rPr>
      </w:pPr>
      <w:r>
        <w:rPr>
          <w:rFonts w:ascii="Arial" w:cs="Arial" w:eastAsia="Arial" w:hAnsi="Arial"/>
          <w:sz w:val="19"/>
          <w:szCs w:val="19"/>
          <w:color w:val="auto"/>
        </w:rPr>
        <w:t>Agreement, if any portion of the payments or benefits provided to the Executive hereunder, or under any other agreement with the Executive or any plan, policy or arrangement of the Company or any of its Affiliates (in the aggregate,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constitute an “excess parachute payment” and would, but for this Section 6(b), result in the imposition on the Executive of an excise tax under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Total Payments to be made to the Executive shall either be (i) delivered in full, or (ii) reduced by such amount such that no portion of the Total Payments would be subject to the Excise Tax, whichever of the foregoing results in the receipt by the Executive of the greatest benefit on an after-tax basis (taking into account the applicable federal, state and local income taxes and the Excise Tax). The determination of whether a reduction in Total Payments is necessary and the amount of any such reduction shall be made by the Company in its reasonable discretion and in reliance on its tax advisors. If the Company so determines that a reduction in Total Payments is required, such reduction shall apply first pro rata to (A) cash payments subject to Section 409A of the Code as “deferred compensation” and (B) cash payments not subject to Section 409A of the Code (in each case with the cash payments otherwise scheduled to be paid latest in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3" w:name="page194"/>
    <w:bookmarkEnd w:id="193"/>
    <w:p>
      <w:pPr>
        <w:ind w:left="40"/>
        <w:spacing w:after="0" w:line="250" w:lineRule="auto"/>
        <w:rPr>
          <w:sz w:val="20"/>
          <w:szCs w:val="20"/>
          <w:color w:val="auto"/>
        </w:rPr>
      </w:pPr>
      <w:r>
        <w:rPr>
          <w:rFonts w:ascii="Arial" w:cs="Arial" w:eastAsia="Arial" w:hAnsi="Arial"/>
          <w:sz w:val="22"/>
          <w:szCs w:val="22"/>
          <w:color w:val="auto"/>
        </w:rPr>
        <w:t>reduced first), and then pro rata to (C) equity-based compensation subject to Section 409A of the Code as “deferred compensation” and (D) equity-based compensation not subject to Section 409A of the Code.</w:t>
      </w:r>
    </w:p>
    <w:p>
      <w:pPr>
        <w:spacing w:after="0" w:line="155" w:lineRule="exact"/>
        <w:rPr>
          <w:sz w:val="20"/>
          <w:szCs w:val="20"/>
          <w:color w:val="auto"/>
        </w:rPr>
      </w:pPr>
    </w:p>
    <w:p>
      <w:pPr>
        <w:ind w:left="880" w:hanging="844"/>
        <w:spacing w:after="0"/>
        <w:tabs>
          <w:tab w:leader="none" w:pos="88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22"/>
          <w:szCs w:val="22"/>
          <w:b w:val="1"/>
          <w:bCs w:val="1"/>
          <w:u w:val="single" w:color="auto"/>
          <w:color w:val="auto"/>
        </w:rPr>
        <w:t>estrictive Covenants</w:t>
      </w:r>
      <w:r>
        <w:rPr>
          <w:rFonts w:ascii="Arial" w:cs="Arial" w:eastAsia="Arial" w:hAnsi="Arial"/>
          <w:sz w:val="22"/>
          <w:szCs w:val="22"/>
          <w:color w:val="auto"/>
        </w:rPr>
        <w:t>.</w:t>
      </w:r>
    </w:p>
    <w:p>
      <w:pPr>
        <w:spacing w:after="0" w:line="20" w:lineRule="exact"/>
        <w:rPr>
          <w:sz w:val="20"/>
          <w:szCs w:val="20"/>
          <w:color w:val="auto"/>
        </w:rPr>
      </w:pPr>
    </w:p>
    <w:p>
      <w:pPr>
        <w:spacing w:after="0" w:line="179" w:lineRule="exact"/>
        <w:rPr>
          <w:sz w:val="20"/>
          <w:szCs w:val="20"/>
          <w:color w:val="auto"/>
        </w:rPr>
      </w:pPr>
    </w:p>
    <w:p>
      <w:pPr>
        <w:ind w:left="40" w:firstLine="825"/>
        <w:spacing w:after="0" w:line="271" w:lineRule="auto"/>
        <w:rPr>
          <w:sz w:val="20"/>
          <w:szCs w:val="20"/>
          <w:color w:val="auto"/>
        </w:rPr>
      </w:pPr>
      <w:r>
        <w:rPr>
          <w:rFonts w:ascii="Arial" w:cs="Arial" w:eastAsia="Arial" w:hAnsi="Arial"/>
          <w:sz w:val="19"/>
          <w:szCs w:val="19"/>
          <w:color w:val="auto"/>
        </w:rPr>
        <w:t>(a) The Executive shall not, at any time during the Term or, in the event of a termination of Executive’s employment pursuant to Section 4(a)(iv), (v), or (vii), during the Restricted Period, directly or indirectly, (i) engage in the Restricted Business within the Restricted Territory, or (ii) have any equity interest in or manage, participate in, assist, or operate any Person (whether as director, officer, employee, agent, representative, partner, security holder, consultant or otherwise) that engages in the Restricted Business within the Restricted Territory. Notwithstanding the foregoing, the Executive shall be permitted to acquire a passive stock or equity interest in such a business; provided that such stock or other equity interest is publicly traded and the amount acquired by Executive is not more than five percent (5%) of the outstanding interest in such business. Notwithstanding the foregoing, at any time during the Restricted Period, Executive may, at Executive’s option, serve on the Company a written notice waiving the right to any and all future installments of the Severance Payment pursuant to Section 5(b) (a “S</w:t>
      </w:r>
      <w:r>
        <w:rPr>
          <w:rFonts w:ascii="Arial" w:cs="Arial" w:eastAsia="Arial" w:hAnsi="Arial"/>
          <w:sz w:val="19"/>
          <w:szCs w:val="19"/>
          <w:u w:val="single" w:color="auto"/>
          <w:color w:val="auto"/>
        </w:rPr>
        <w:t>everance Waiver Notice</w:t>
      </w:r>
      <w:r>
        <w:rPr>
          <w:rFonts w:ascii="Arial" w:cs="Arial" w:eastAsia="Arial" w:hAnsi="Arial"/>
          <w:sz w:val="19"/>
          <w:szCs w:val="19"/>
          <w:color w:val="auto"/>
        </w:rPr>
        <w:t xml:space="preserve">”), and upon delivery of the Severance Waiver Notice, Executive shall no longer be bound by the restrictions set forth in this Section 7(a) for the period on and after the date on which the Severance Waiver Notice is delivered to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delivery of a Severance Waiver Notice, Executive will continue to be bound by the remaining obligations set forth in this Agreement, including but not limited to those covenants of Executive set forth in Sections 7(b)-(g) hereof.</w:t>
      </w:r>
    </w:p>
    <w:p>
      <w:pPr>
        <w:spacing w:after="0" w:line="164" w:lineRule="exact"/>
        <w:rPr>
          <w:sz w:val="20"/>
          <w:szCs w:val="20"/>
          <w:color w:val="auto"/>
        </w:rPr>
      </w:pPr>
    </w:p>
    <w:p>
      <w:pPr>
        <w:ind w:left="40" w:right="140" w:firstLine="825"/>
        <w:spacing w:after="0" w:line="277" w:lineRule="auto"/>
        <w:rPr>
          <w:sz w:val="20"/>
          <w:szCs w:val="20"/>
          <w:color w:val="auto"/>
        </w:rPr>
      </w:pPr>
      <w:r>
        <w:rPr>
          <w:rFonts w:ascii="Arial" w:cs="Arial" w:eastAsia="Arial" w:hAnsi="Arial"/>
          <w:sz w:val="19"/>
          <w:szCs w:val="19"/>
          <w:color w:val="auto"/>
        </w:rPr>
        <w:t>(b) The Executive shall not, at any time during the Term or during the Restricted Period, directly or indirectly, either for himself or on behalf of any other Person, (i) recruit or otherwise solicit or induce any employee of the Company to terminate his, her or its employment or arrangement with the Company, or otherwise change his, her or its relationship with the Company, (ii) hire, or cause to be hired, any person who was employed by the Company and served in a capacity of “vice president” (or any person serving in a capacity senior to vice president) at any time during the twelve (12)-month period immediately prior to the Date of Termination, or (iii) influence, induce, or encourage any customer, subscriber, or supplier of the Company to discontinue, reduce, or materially change its relationship or business with the Company.</w:t>
      </w:r>
    </w:p>
    <w:p>
      <w:pPr>
        <w:spacing w:after="0" w:line="152" w:lineRule="exact"/>
        <w:rPr>
          <w:sz w:val="20"/>
          <w:szCs w:val="20"/>
          <w:color w:val="auto"/>
        </w:rPr>
      </w:pPr>
    </w:p>
    <w:p>
      <w:pPr>
        <w:ind w:left="40" w:right="20" w:firstLine="825"/>
        <w:spacing w:after="0" w:line="245" w:lineRule="auto"/>
        <w:rPr>
          <w:sz w:val="20"/>
          <w:szCs w:val="20"/>
          <w:color w:val="auto"/>
        </w:rPr>
      </w:pPr>
      <w:r>
        <w:rPr>
          <w:rFonts w:ascii="Arial" w:cs="Arial" w:eastAsia="Arial" w:hAnsi="Arial"/>
          <w:sz w:val="21"/>
          <w:szCs w:val="21"/>
          <w:color w:val="auto"/>
        </w:rPr>
        <w:t>(c) Except as the Executive reasonably and in good faith determines to be required in the faithful performance of the Executive’s duties hereunder or in accordance with Section 7(e), the Executive shall, during the Term and after the Date of Termination, maintain in confidence and shall not directly or indirectly,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protocols, products, inventions, business practices, finances, principals, vendors, suppliers, customers, potential customers, marketing methods, costs, prices, contractual relationships, regulatory status, compensation paid to employees or other terms of employment (“</w:t>
      </w:r>
      <w:r>
        <w:rPr>
          <w:rFonts w:ascii="Arial" w:cs="Arial" w:eastAsia="Arial" w:hAnsi="Arial"/>
          <w:sz w:val="21"/>
          <w:szCs w:val="21"/>
          <w:u w:val="single" w:color="auto"/>
          <w:color w:val="auto"/>
        </w:rPr>
        <w:t>Proprietary Information</w:t>
      </w:r>
      <w:r>
        <w:rPr>
          <w:rFonts w:ascii="Arial" w:cs="Arial" w:eastAsia="Arial" w:hAnsi="Arial"/>
          <w:sz w:val="21"/>
          <w:szCs w:val="21"/>
          <w:color w:val="auto"/>
        </w:rPr>
        <w:t>”), or deliver to any Person, any document, record, notebook, computer program or similar repository of or containing 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4" w:name="page195"/>
    <w:bookmarkEnd w:id="194"/>
    <w:p>
      <w:pPr>
        <w:jc w:val="both"/>
        <w:ind w:left="40"/>
        <w:spacing w:after="0" w:line="246" w:lineRule="auto"/>
        <w:rPr>
          <w:sz w:val="20"/>
          <w:szCs w:val="20"/>
          <w:color w:val="auto"/>
        </w:rPr>
      </w:pPr>
      <w:r>
        <w:rPr>
          <w:rFonts w:ascii="Arial" w:cs="Arial" w:eastAsia="Arial" w:hAnsi="Arial"/>
          <w:sz w:val="21"/>
          <w:szCs w:val="21"/>
          <w:color w:val="auto"/>
        </w:rPr>
        <w:t>such Proprietary Information. The Executive’s obligation to maintain and not use, disseminate, disclose or publish, or use for the Executive’s benefit or the benefit of any Person, any Proprietary Information after the Date of Termination will continue so long as such Proprietary Information is not, or has not by legitimate means become, generally known and in the public domain (other than by means of the Executive’s direct or indirect disclosure of such Proprietary Information) and continues to be maintained as Proprietary Information by the Company. The parties hereby stipulate and agree that as between them, the Proprietary Information identified herein is important, material and affects the successful conduct of the businesses of the Company (and any successor or assignee of the Company).</w:t>
      </w:r>
    </w:p>
    <w:p>
      <w:pPr>
        <w:spacing w:after="0" w:line="184" w:lineRule="exact"/>
        <w:rPr>
          <w:sz w:val="20"/>
          <w:szCs w:val="20"/>
          <w:color w:val="auto"/>
        </w:rPr>
      </w:pPr>
    </w:p>
    <w:p>
      <w:pPr>
        <w:ind w:left="40" w:firstLine="825"/>
        <w:spacing w:after="0" w:line="238" w:lineRule="auto"/>
        <w:rPr>
          <w:sz w:val="20"/>
          <w:szCs w:val="20"/>
          <w:color w:val="auto"/>
        </w:rPr>
      </w:pPr>
      <w:r>
        <w:rPr>
          <w:rFonts w:ascii="Arial" w:cs="Arial" w:eastAsia="Arial" w:hAnsi="Arial"/>
          <w:sz w:val="22"/>
          <w:szCs w:val="22"/>
          <w:color w:val="auto"/>
        </w:rPr>
        <w:t>(d) Upon termination of the Executive’s employment with the Company for any reason, the Executive will promptly deliver to the Company all correspondence, drawings, manuals, letters, notes, notebooks, reports, programs, plans, proposals, financial documents, or any other documents concerning the Company’s customers, business plans, marketing strategies, products or processes.</w:t>
      </w:r>
    </w:p>
    <w:p>
      <w:pPr>
        <w:spacing w:after="0" w:line="185" w:lineRule="exact"/>
        <w:rPr>
          <w:sz w:val="20"/>
          <w:szCs w:val="20"/>
          <w:color w:val="auto"/>
        </w:rPr>
      </w:pPr>
    </w:p>
    <w:p>
      <w:pPr>
        <w:ind w:left="40" w:right="20" w:firstLine="825"/>
        <w:spacing w:after="0" w:line="273" w:lineRule="auto"/>
        <w:rPr>
          <w:sz w:val="20"/>
          <w:szCs w:val="20"/>
          <w:color w:val="auto"/>
        </w:rPr>
      </w:pPr>
      <w:r>
        <w:rPr>
          <w:rFonts w:ascii="Arial" w:cs="Arial" w:eastAsia="Arial" w:hAnsi="Arial"/>
          <w:sz w:val="19"/>
          <w:szCs w:val="19"/>
          <w:color w:val="auto"/>
        </w:rPr>
        <w:t>(e) The Executive may respond to a lawful and valid subpoena or other legal process but shall give the Company (if lawfully permitted to do so) the earliest possible notice thereof, and shall, as much in advance of the return date as possible, make available to the Company and its counsel the documents and other information sought, and shall assist such counsel in resisting or otherwise responding to such process. Upon notification from Executive of such subpoena or other legal process, the Company shall, at its reasonable expense, retain mutually acceptable legal counsel to represent Executive in connection with Executive’s response to any such subpoena or other legal process. The Executive may also disclose Proprietary Information if: (i) in the reasonable written opinion of counsel for the Executive furnished to the Company, such information is required to be disclosed for the Executive not to be in violation of any applicable law or regulation or (ii) the Executive is required to disclose such information in connection with the enforcement of any rights under this Agreement or any other agreements between the Executive and the Company.</w:t>
      </w:r>
    </w:p>
    <w:p>
      <w:pPr>
        <w:spacing w:after="0" w:line="161" w:lineRule="exact"/>
        <w:rPr>
          <w:sz w:val="20"/>
          <w:szCs w:val="20"/>
          <w:color w:val="auto"/>
        </w:rPr>
      </w:pPr>
    </w:p>
    <w:p>
      <w:pPr>
        <w:ind w:left="40" w:right="80" w:firstLine="825"/>
        <w:spacing w:after="0" w:line="245" w:lineRule="auto"/>
        <w:rPr>
          <w:sz w:val="20"/>
          <w:szCs w:val="20"/>
          <w:color w:val="auto"/>
        </w:rPr>
      </w:pPr>
      <w:r>
        <w:rPr>
          <w:rFonts w:ascii="Arial" w:cs="Arial" w:eastAsia="Arial" w:hAnsi="Arial"/>
          <w:sz w:val="21"/>
          <w:szCs w:val="21"/>
          <w:color w:val="auto"/>
        </w:rPr>
        <w:t>(f) Executive shall refrain from publishing any oral or written statements about the Company or any of its Affiliates, or any of their respective officers, employees, shareholders, investors, directors, agents or representatives that are malicious, obscene, threatening, harassing, intimidating or discriminatory and which are designed to harm any of the foregoing, at any time; p</w:t>
      </w:r>
      <w:r>
        <w:rPr>
          <w:rFonts w:ascii="Arial" w:cs="Arial" w:eastAsia="Arial" w:hAnsi="Arial"/>
          <w:sz w:val="21"/>
          <w:szCs w:val="21"/>
          <w:u w:val="single" w:color="auto"/>
          <w:color w:val="auto"/>
        </w:rPr>
        <w:t>rovided</w:t>
      </w:r>
      <w:r>
        <w:rPr>
          <w:rFonts w:ascii="Arial" w:cs="Arial" w:eastAsia="Arial" w:hAnsi="Arial"/>
          <w:sz w:val="21"/>
          <w:szCs w:val="21"/>
          <w:color w:val="auto"/>
        </w:rPr>
        <w:t xml:space="preserve"> that the Executive may confer in confidence with the Executive’s legal representatives, make truthful statements to any government agency in sworn testimony, or make truthful statements as otherwise required by law. The Company agrees that, upon the termination of the Executive’s employment hereunder, it shall advise its directors and executive officers to refrain from publishing any oral or written statements about Executive that are malicious, obscene, threatening, harassing, intimidating or discriminatory and which are designed to harm Executive, at any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they may confer in confidence with the Company’s and their legal representatives and make truthful statements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-959485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1" w:lineRule="exact"/>
        <w:rPr>
          <w:sz w:val="20"/>
          <w:szCs w:val="20"/>
          <w:color w:val="auto"/>
        </w:rPr>
      </w:pPr>
    </w:p>
    <w:p>
      <w:pPr>
        <w:jc w:val="both"/>
        <w:ind w:left="40" w:right="600" w:firstLine="825"/>
        <w:spacing w:after="0"/>
        <w:rPr>
          <w:sz w:val="20"/>
          <w:szCs w:val="20"/>
          <w:color w:val="auto"/>
        </w:rPr>
      </w:pPr>
      <w:r>
        <w:rPr>
          <w:rFonts w:ascii="Arial" w:cs="Arial" w:eastAsia="Arial" w:hAnsi="Arial"/>
          <w:sz w:val="22"/>
          <w:szCs w:val="22"/>
          <w:color w:val="auto"/>
        </w:rPr>
        <w:t>(g) Prior to accepting other employment or any other service relationship during the Restricted Period, the Executive shall provide a copy of this Section 7 to any recruiter who assists the Executive in obtaining other employment or any other service relationship and to 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5" w:name="page196"/>
    <w:bookmarkEnd w:id="195"/>
    <w:p>
      <w:pPr>
        <w:ind w:left="40"/>
        <w:spacing w:after="0"/>
        <w:rPr>
          <w:sz w:val="20"/>
          <w:szCs w:val="20"/>
          <w:color w:val="auto"/>
        </w:rPr>
      </w:pPr>
      <w:r>
        <w:rPr>
          <w:rFonts w:ascii="Arial" w:cs="Arial" w:eastAsia="Arial" w:hAnsi="Arial"/>
          <w:sz w:val="22"/>
          <w:szCs w:val="22"/>
          <w:color w:val="auto"/>
        </w:rPr>
        <w:t>employer or Person with which the Executive discusses potential employment or any other service relationship.</w:t>
      </w:r>
    </w:p>
    <w:p>
      <w:pPr>
        <w:spacing w:after="0" w:line="206" w:lineRule="exact"/>
        <w:rPr>
          <w:sz w:val="20"/>
          <w:szCs w:val="20"/>
          <w:color w:val="auto"/>
        </w:rPr>
      </w:pPr>
    </w:p>
    <w:p>
      <w:pPr>
        <w:ind w:left="40" w:right="40" w:firstLine="825"/>
        <w:spacing w:after="0" w:line="271" w:lineRule="auto"/>
        <w:rPr>
          <w:sz w:val="20"/>
          <w:szCs w:val="20"/>
          <w:color w:val="auto"/>
        </w:rPr>
      </w:pPr>
      <w:r>
        <w:rPr>
          <w:rFonts w:ascii="Arial" w:cs="Arial" w:eastAsia="Arial" w:hAnsi="Arial"/>
          <w:sz w:val="19"/>
          <w:szCs w:val="19"/>
          <w:color w:val="auto"/>
        </w:rPr>
        <w:t>(h) Executive agrees and hereby acknowledges that: (i) the provisions of this Section 7 do not impose a greater restraint than is necessary to protect the goodwill, trade secrets, or other business interests of the Company; (ii) such provisions contain reasonable limitations as to time, scope of activity, and geographical area to be restrained; (iii) the provisions of this Section 7 are necessary and essential to protect the Proprietary Information, trade secrets, and goodwill of the Company, as well as due to Executive’s position as an executive and/or management employee of the Company, and (iv) the consideration provided hereunder, including without limitation, the Proprietary Information provided to Executive, is sufficient to compensate Executive for the restrictions contained in this Section 7. In consideration of the foregoing and in light of Executive’s education, skills, and abilities, Executive agrees that Executive will not assert that, and it should not be considered that, any provisions of Section 7 otherwise are void, voidable, or unenforceable or should be voided or held unenforceable. In the event the terms of this Section 7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pacing w:after="0" w:line="164" w:lineRule="exact"/>
        <w:rPr>
          <w:sz w:val="20"/>
          <w:szCs w:val="20"/>
          <w:color w:val="auto"/>
        </w:rPr>
      </w:pPr>
    </w:p>
    <w:p>
      <w:pPr>
        <w:ind w:left="40" w:right="280" w:firstLine="825"/>
        <w:spacing w:after="0" w:line="250" w:lineRule="auto"/>
        <w:rPr>
          <w:sz w:val="20"/>
          <w:szCs w:val="20"/>
          <w:color w:val="auto"/>
        </w:rPr>
      </w:pPr>
      <w:r>
        <w:rPr>
          <w:rFonts w:ascii="Arial" w:cs="Arial" w:eastAsia="Arial" w:hAnsi="Arial"/>
          <w:sz w:val="22"/>
          <w:szCs w:val="22"/>
          <w:color w:val="auto"/>
        </w:rPr>
        <w:t>(i) As used in this Section 7, the term “Company” shall include the Company, its parent, Affiliates, related entities, and any of its direct or indirect subsidiaries.</w:t>
      </w:r>
    </w:p>
    <w:p>
      <w:pPr>
        <w:spacing w:after="0" w:line="155" w:lineRule="exact"/>
        <w:rPr>
          <w:sz w:val="20"/>
          <w:szCs w:val="20"/>
          <w:color w:val="auto"/>
        </w:rPr>
      </w:pPr>
    </w:p>
    <w:p>
      <w:pPr>
        <w:ind w:left="880" w:hanging="844"/>
        <w:spacing w:after="0"/>
        <w:tabs>
          <w:tab w:leader="none" w:pos="88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22"/>
          <w:szCs w:val="22"/>
          <w:b w:val="1"/>
          <w:bCs w:val="1"/>
          <w:u w:val="single" w:color="auto"/>
          <w:color w:val="auto"/>
        </w:rPr>
        <w:t>njunctive Relief</w:t>
      </w:r>
      <w:r>
        <w:rPr>
          <w:rFonts w:ascii="Arial" w:cs="Arial" w:eastAsia="Arial" w:hAnsi="Arial"/>
          <w:sz w:val="22"/>
          <w:szCs w:val="22"/>
          <w:color w:val="auto"/>
        </w:rPr>
        <w:t>.The Executive recognizes and acknowledges that a breach of the</w:t>
      </w:r>
    </w:p>
    <w:p>
      <w:pPr>
        <w:spacing w:after="0" w:line="14" w:lineRule="exact"/>
        <w:rPr>
          <w:sz w:val="20"/>
          <w:szCs w:val="20"/>
          <w:color w:val="auto"/>
        </w:rPr>
      </w:pPr>
    </w:p>
    <w:p>
      <w:pPr>
        <w:jc w:val="both"/>
        <w:ind w:left="40"/>
        <w:spacing w:after="0" w:line="280" w:lineRule="auto"/>
        <w:rPr>
          <w:sz w:val="20"/>
          <w:szCs w:val="20"/>
          <w:color w:val="auto"/>
        </w:rPr>
      </w:pPr>
      <w:r>
        <w:rPr>
          <w:rFonts w:ascii="Arial" w:cs="Arial" w:eastAsia="Arial" w:hAnsi="Arial"/>
          <w:sz w:val="19"/>
          <w:szCs w:val="19"/>
          <w:color w:val="auto"/>
        </w:rPr>
        <w:t>covenants contained in Section 7 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Section 7, in addition to any other remedy that may be available at law or in equity, the Company will be entitled to specific performance and injunctive relief.</w:t>
      </w:r>
    </w:p>
    <w:p>
      <w:pPr>
        <w:spacing w:after="0" w:line="131" w:lineRule="exact"/>
        <w:rPr>
          <w:sz w:val="20"/>
          <w:szCs w:val="20"/>
          <w:color w:val="auto"/>
        </w:rPr>
      </w:pPr>
    </w:p>
    <w:p>
      <w:pPr>
        <w:ind w:left="880" w:hanging="844"/>
        <w:spacing w:after="0"/>
        <w:tabs>
          <w:tab w:leader="none" w:pos="880"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22"/>
          <w:szCs w:val="22"/>
          <w:b w:val="1"/>
          <w:bCs w:val="1"/>
          <w:u w:val="single" w:color="auto"/>
          <w:color w:val="auto"/>
        </w:rPr>
        <w:t>ection 409A</w:t>
      </w:r>
      <w:r>
        <w:rPr>
          <w:rFonts w:ascii="Arial" w:cs="Arial" w:eastAsia="Arial" w:hAnsi="Arial"/>
          <w:sz w:val="22"/>
          <w:szCs w:val="22"/>
          <w:color w:val="auto"/>
        </w:rPr>
        <w:t>.</w:t>
      </w:r>
    </w:p>
    <w:p>
      <w:pPr>
        <w:spacing w:after="0" w:line="199" w:lineRule="exact"/>
        <w:rPr>
          <w:sz w:val="20"/>
          <w:szCs w:val="20"/>
          <w:color w:val="auto"/>
        </w:rPr>
      </w:pPr>
    </w:p>
    <w:p>
      <w:pPr>
        <w:ind w:left="1720" w:hanging="834"/>
        <w:spacing w:after="0"/>
        <w:tabs>
          <w:tab w:leader="none" w:pos="17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eneral</w:t>
      </w:r>
      <w:r>
        <w:rPr>
          <w:rFonts w:ascii="Arial" w:cs="Arial" w:eastAsia="Arial" w:hAnsi="Arial"/>
          <w:sz w:val="22"/>
          <w:szCs w:val="22"/>
          <w:color w:val="auto"/>
        </w:rPr>
        <w:t>. The parties hereto acknowledge and agree that, to the extent applicable,</w:t>
      </w:r>
    </w:p>
    <w:p>
      <w:pPr>
        <w:spacing w:after="0" w:line="20" w:lineRule="exact"/>
        <w:rPr>
          <w:sz w:val="20"/>
          <w:szCs w:val="20"/>
          <w:color w:val="auto"/>
        </w:rPr>
      </w:pPr>
    </w:p>
    <w:p>
      <w:pPr>
        <w:jc w:val="both"/>
        <w:ind w:left="40"/>
        <w:spacing w:after="0" w:line="272" w:lineRule="auto"/>
        <w:rPr>
          <w:sz w:val="20"/>
          <w:szCs w:val="20"/>
          <w:color w:val="auto"/>
        </w:rPr>
      </w:pPr>
      <w:r>
        <w:rPr>
          <w:rFonts w:ascii="Arial" w:cs="Arial" w:eastAsia="Arial" w:hAnsi="Arial"/>
          <w:sz w:val="19"/>
          <w:szCs w:val="19"/>
          <w:color w:val="auto"/>
        </w:rPr>
        <w:t>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the Executive under Section 409A, the Company reserves the right to (without any obligation to do so or to indemnify the Executive for failure to do so) (i) adopt such amendments to this Agreement or adopt such other policies and procedures (including amendments, policies and procedures with retroactive effect) that it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it determines to be necessary or appropriate to exempt the amounts payable hereunder from Section 409A or to comply with the requirements</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6" w:name="page197"/>
    <w:bookmarkEnd w:id="196"/>
    <w:p>
      <w:pPr>
        <w:jc w:val="both"/>
        <w:ind w:left="40"/>
        <w:spacing w:after="0" w:line="238" w:lineRule="auto"/>
        <w:rPr>
          <w:sz w:val="20"/>
          <w:szCs w:val="20"/>
          <w:color w:val="auto"/>
        </w:rPr>
      </w:pPr>
      <w:r>
        <w:rPr>
          <w:rFonts w:ascii="Arial" w:cs="Arial" w:eastAsia="Arial" w:hAnsi="Arial"/>
          <w:sz w:val="22"/>
          <w:szCs w:val="22"/>
          <w:color w:val="auto"/>
        </w:rPr>
        <w:t>of Section 409A and thereby avoid the application of penalty taxes thereunder. Notwithstanding anything herein to the contrary, no provision of this Agreement shall be interpreted or construed to transfer any liability for failure to comply with the requirements of Section 409A from the Executive or any other individual to the Company or any of its Affiliates, employees or agents.</w:t>
      </w:r>
    </w:p>
    <w:p>
      <w:pPr>
        <w:spacing w:after="0" w:line="171" w:lineRule="exact"/>
        <w:rPr>
          <w:sz w:val="20"/>
          <w:szCs w:val="20"/>
          <w:color w:val="auto"/>
        </w:rPr>
      </w:pPr>
    </w:p>
    <w:p>
      <w:pPr>
        <w:ind w:left="1720" w:hanging="834"/>
        <w:spacing w:after="0"/>
        <w:tabs>
          <w:tab w:leader="none" w:pos="172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S</w:t>
      </w:r>
      <w:r>
        <w:rPr>
          <w:rFonts w:ascii="Arial" w:cs="Arial" w:eastAsia="Arial" w:hAnsi="Arial"/>
          <w:sz w:val="22"/>
          <w:szCs w:val="22"/>
          <w:u w:val="single" w:color="auto"/>
          <w:color w:val="auto"/>
        </w:rPr>
        <w:t>eparation from Service under Section 409A; Section 409A Compliance</w:t>
      </w:r>
      <w:r>
        <w:rPr>
          <w:rFonts w:ascii="Arial" w:cs="Arial" w:eastAsia="Arial" w:hAnsi="Arial"/>
          <w:sz w:val="22"/>
          <w:szCs w:val="22"/>
          <w:color w:val="auto"/>
        </w:rPr>
        <w:t>.</w:t>
      </w:r>
    </w:p>
    <w:p>
      <w:pPr>
        <w:spacing w:after="0" w:line="8" w:lineRule="exact"/>
        <w:rPr>
          <w:sz w:val="20"/>
          <w:szCs w:val="20"/>
          <w:color w:val="auto"/>
        </w:rPr>
      </w:pPr>
    </w:p>
    <w:p>
      <w:pPr>
        <w:jc w:val="both"/>
        <w:ind w:left="40"/>
        <w:spacing w:after="0" w:line="266" w:lineRule="auto"/>
        <w:rPr>
          <w:sz w:val="20"/>
          <w:szCs w:val="20"/>
          <w:color w:val="auto"/>
        </w:rPr>
      </w:pPr>
      <w:r>
        <w:rPr>
          <w:rFonts w:ascii="Arial" w:cs="Arial" w:eastAsia="Arial" w:hAnsi="Arial"/>
          <w:sz w:val="19"/>
          <w:szCs w:val="19"/>
          <w:color w:val="auto"/>
        </w:rPr>
        <w:t>Notwithstanding anything herein to the contrary: (i) no termination or other similar payments and benefits hereunder shall be payable unless the Executive’s termination of employment constitutes a “separation from service” within the meaning of Section 1.409A-1(h) of the Department of Treasury Regulations; (ii) if the Executive is deemed at the time of the Executive’s separation from service to be a “specified employee” for purposes of Section 409A(a)(2)(B)(i) of the Code, to the extent delayed commencement of any portion of any termination or other similar payments and benefits to which the Executive may be entitled hereunder (after taking into account all exclusions applicable to such payments or benefits under Section 409A) is required in order to avoid a prohibited distribution under Section 409A(a)(2)(B)(i) of the Code, such portion of such payments and benefits shall not be provided to the Executive prior to the earlier of (x) the expiration of the six (6)-month period measured from the date of the Executive’s “separation from service” with the Company (as such term is defined in the Department of Treasury Regulations issued under Section 409A) and (y) the date of the Executive’s death; p</w:t>
      </w:r>
      <w:r>
        <w:rPr>
          <w:rFonts w:ascii="Arial" w:cs="Arial" w:eastAsia="Arial" w:hAnsi="Arial"/>
          <w:sz w:val="19"/>
          <w:szCs w:val="19"/>
          <w:u w:val="single" w:color="auto"/>
          <w:color w:val="auto"/>
        </w:rPr>
        <w:t>rovided</w:t>
      </w:r>
      <w:r>
        <w:rPr>
          <w:rFonts w:ascii="Arial" w:cs="Arial" w:eastAsia="Arial" w:hAnsi="Arial"/>
          <w:sz w:val="19"/>
          <w:szCs w:val="19"/>
          <w:color w:val="auto"/>
        </w:rPr>
        <w:t xml:space="preserve"> that upon the earlier of such dates, all payments and benefits deferred pursuant to this Section 9(b)(ii) shall be paid in a lump sum to the Executive, and any remaining payments and benefits due hereunder shall be provided as otherwise specified herein;</w:t>
      </w:r>
    </w:p>
    <w:p>
      <w:pPr>
        <w:spacing w:after="0" w:line="20" w:lineRule="exact"/>
        <w:rPr>
          <w:sz w:val="20"/>
          <w:szCs w:val="20"/>
          <w:color w:val="auto"/>
        </w:rPr>
      </w:pPr>
    </w:p>
    <w:p>
      <w:pPr>
        <w:jc w:val="right"/>
        <w:ind w:left="120" w:hanging="28"/>
        <w:spacing w:after="0" w:line="266" w:lineRule="auto"/>
        <w:tabs>
          <w:tab w:leader="none" w:pos="89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determination of whether the Executive is a “specified employee” for purposes of Section 409A(a)(2)(B)(i) of the Code as of the time of the Executive’s separation from service shall be made by the Company in accordance with the terms of Section 409A (including, without limitation, Section 1.409A-1(i) of the Department of Treasury Regulations and any successor provision thereto); (iv) to the extent that any Installment Payments under this Agreement are deemed to constitute “nonqualified deferred compensation” within the meaning of Section 409A, for purposes of Section 409A (including, without limitation, for purposes of Section 1.409A- 2(b)(2)(iii) of the Department of Treasury Regulations), each such payment that the Executive may be eligible to receive under this Agreement shall be treated as a separate and distinct payment; (v) to the extent that any reimbursements or corresponding in-kind benefits provided to the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and (vi)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the Executive’s right to such payments or reimbursement of any such</w:t>
      </w:r>
    </w:p>
    <w:p>
      <w:pPr>
        <w:spacing w:after="0" w:line="12"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expenses shall not be subject to liquidation or exchange for any other benefit.</w:t>
      </w:r>
    </w:p>
    <w:p>
      <w:pPr>
        <w:spacing w:after="0" w:line="203" w:lineRule="exact"/>
        <w:rPr>
          <w:sz w:val="20"/>
          <w:szCs w:val="20"/>
          <w:color w:val="auto"/>
        </w:rPr>
      </w:pPr>
    </w:p>
    <w:p>
      <w:pPr>
        <w:ind w:left="880" w:hanging="844"/>
        <w:spacing w:after="0"/>
        <w:tabs>
          <w:tab w:leader="none" w:pos="88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22"/>
          <w:szCs w:val="22"/>
          <w:b w:val="1"/>
          <w:bCs w:val="1"/>
          <w:u w:val="single" w:color="auto"/>
          <w:color w:val="auto"/>
        </w:rPr>
        <w:t>ssignment and Successors</w:t>
      </w:r>
      <w:r>
        <w:rPr>
          <w:rFonts w:ascii="Arial" w:cs="Arial" w:eastAsia="Arial" w:hAnsi="Arial"/>
          <w:sz w:val="22"/>
          <w:szCs w:val="22"/>
          <w:color w:val="auto"/>
        </w:rPr>
        <w:t>. The Company may, without Executive’s consent, assign</w:t>
      </w:r>
    </w:p>
    <w:p>
      <w:pPr>
        <w:spacing w:after="0" w:line="20"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7" w:name="page198"/>
    <w:bookmarkEnd w:id="197"/>
    <w:p>
      <w:pPr>
        <w:jc w:val="both"/>
        <w:ind w:left="40"/>
        <w:spacing w:after="0" w:line="297" w:lineRule="auto"/>
        <w:rPr>
          <w:sz w:val="20"/>
          <w:szCs w:val="20"/>
          <w:color w:val="auto"/>
        </w:rPr>
      </w:pPr>
      <w:r>
        <w:rPr>
          <w:rFonts w:ascii="Arial" w:cs="Arial" w:eastAsia="Arial" w:hAnsi="Arial"/>
          <w:sz w:val="19"/>
          <w:szCs w:val="19"/>
          <w:color w:val="auto"/>
        </w:rPr>
        <w:t>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114" w:lineRule="exact"/>
        <w:rPr>
          <w:sz w:val="20"/>
          <w:szCs w:val="20"/>
          <w:color w:val="auto"/>
        </w:rPr>
      </w:pPr>
    </w:p>
    <w:p>
      <w:pPr>
        <w:ind w:left="880" w:hanging="844"/>
        <w:spacing w:after="0"/>
        <w:tabs>
          <w:tab w:leader="none" w:pos="88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22"/>
          <w:szCs w:val="22"/>
          <w:b w:val="1"/>
          <w:bCs w:val="1"/>
          <w:u w:val="single" w:color="auto"/>
          <w:color w:val="auto"/>
        </w:rPr>
        <w:t>overning Law</w:t>
      </w:r>
      <w:r>
        <w:rPr>
          <w:rFonts w:ascii="Arial" w:cs="Arial" w:eastAsia="Arial" w:hAnsi="Arial"/>
          <w:sz w:val="22"/>
          <w:szCs w:val="22"/>
          <w:color w:val="auto"/>
        </w:rPr>
        <w:t>. This Agreement shall be governed, construed, interpreted and enforced</w:t>
      </w:r>
    </w:p>
    <w:p>
      <w:pPr>
        <w:spacing w:after="0" w:line="14"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in accordance with the substantive laws of the State of Delaware, without reference to the principles of conflicts of law of Delaware or any other jurisdiction, and where applicable, the laws of the United States.</w:t>
      </w:r>
    </w:p>
    <w:p>
      <w:pPr>
        <w:spacing w:after="0" w:line="167" w:lineRule="exact"/>
        <w:rPr>
          <w:sz w:val="20"/>
          <w:szCs w:val="20"/>
          <w:color w:val="auto"/>
        </w:rPr>
      </w:pPr>
    </w:p>
    <w:p>
      <w:pPr>
        <w:ind w:left="880" w:hanging="844"/>
        <w:spacing w:after="0"/>
        <w:tabs>
          <w:tab w:leader="none" w:pos="88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22"/>
          <w:szCs w:val="22"/>
          <w:b w:val="1"/>
          <w:bCs w:val="1"/>
          <w:u w:val="single" w:color="auto"/>
          <w:color w:val="auto"/>
        </w:rPr>
        <w:t>otices</w:t>
      </w:r>
      <w:r>
        <w:rPr>
          <w:rFonts w:ascii="Arial" w:cs="Arial" w:eastAsia="Arial" w:hAnsi="Arial"/>
          <w:sz w:val="22"/>
          <w:szCs w:val="22"/>
          <w:color w:val="auto"/>
        </w:rPr>
        <w:t>.Any notice, request, claim, demand, document and other communication</w:t>
      </w:r>
    </w:p>
    <w:p>
      <w:pPr>
        <w:spacing w:after="0" w:line="20"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hereunder to any party hereto shall be effective upon receipt (or refusal of receipt) and shall be in writing and delivered personally or sent by email or certified or registered mail, postage prepaid, to the following address (or at any other address as any party hereto shall have specified by notice in writing to the other party hereto):</w:t>
      </w:r>
    </w:p>
    <w:p>
      <w:pPr>
        <w:spacing w:after="0" w:line="187" w:lineRule="exact"/>
        <w:rPr>
          <w:sz w:val="20"/>
          <w:szCs w:val="20"/>
          <w:color w:val="auto"/>
        </w:rPr>
      </w:pPr>
    </w:p>
    <w:p>
      <w:pPr>
        <w:ind w:left="1720" w:hanging="834"/>
        <w:spacing w:after="0"/>
        <w:tabs>
          <w:tab w:leader="none" w:pos="17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06" w:lineRule="exact"/>
        <w:rPr>
          <w:rFonts w:ascii="Arial" w:cs="Arial" w:eastAsia="Arial" w:hAnsi="Arial"/>
          <w:sz w:val="22"/>
          <w:szCs w:val="22"/>
          <w:color w:val="auto"/>
        </w:rPr>
      </w:pPr>
    </w:p>
    <w:p>
      <w:pPr>
        <w:ind w:left="1740" w:right="5100"/>
        <w:spacing w:after="0" w:line="239" w:lineRule="auto"/>
        <w:rPr>
          <w:rFonts w:ascii="Arial" w:cs="Arial" w:eastAsia="Arial" w:hAnsi="Arial"/>
          <w:sz w:val="22"/>
          <w:szCs w:val="22"/>
          <w:color w:val="auto"/>
        </w:rPr>
      </w:pPr>
      <w:r>
        <w:rPr>
          <w:rFonts w:ascii="Arial" w:cs="Arial" w:eastAsia="Arial" w:hAnsi="Arial"/>
          <w:sz w:val="22"/>
          <w:szCs w:val="22"/>
          <w:color w:val="auto"/>
        </w:rPr>
        <w:t>Summit Midstream Partners, LLC Attn: General Counsel</w:t>
      </w:r>
    </w:p>
    <w:p>
      <w:pPr>
        <w:ind w:left="1740" w:right="7360"/>
        <w:spacing w:after="0" w:line="266" w:lineRule="auto"/>
        <w:rPr>
          <w:rFonts w:ascii="Arial" w:cs="Arial" w:eastAsia="Arial" w:hAnsi="Arial"/>
          <w:sz w:val="22"/>
          <w:szCs w:val="22"/>
          <w:color w:val="auto"/>
        </w:rPr>
      </w:pPr>
      <w:r>
        <w:rPr>
          <w:rFonts w:ascii="Arial" w:cs="Arial" w:eastAsia="Arial" w:hAnsi="Arial"/>
          <w:sz w:val="19"/>
          <w:szCs w:val="19"/>
          <w:color w:val="auto"/>
        </w:rPr>
        <w:t>910 Louisiana Street Suite 4200 Houston, Texas 77042</w:t>
      </w:r>
    </w:p>
    <w:p>
      <w:pPr>
        <w:spacing w:after="0" w:line="2" w:lineRule="exact"/>
        <w:rPr>
          <w:rFonts w:ascii="Arial" w:cs="Arial" w:eastAsia="Arial" w:hAnsi="Arial"/>
          <w:sz w:val="22"/>
          <w:szCs w:val="22"/>
          <w:color w:val="auto"/>
        </w:rPr>
      </w:pPr>
    </w:p>
    <w:p>
      <w:pPr>
        <w:ind w:left="1740" w:right="6540"/>
        <w:spacing w:after="0" w:line="230" w:lineRule="auto"/>
        <w:rPr>
          <w:rFonts w:ascii="Arial" w:cs="Arial" w:eastAsia="Arial" w:hAnsi="Arial"/>
          <w:sz w:val="22"/>
          <w:szCs w:val="22"/>
          <w:color w:val="auto"/>
        </w:rPr>
      </w:pPr>
      <w:r>
        <w:rPr>
          <w:rFonts w:ascii="Arial" w:cs="Arial" w:eastAsia="Arial" w:hAnsi="Arial"/>
          <w:sz w:val="22"/>
          <w:szCs w:val="22"/>
          <w:color w:val="auto"/>
        </w:rPr>
        <w:t>Facsimile: (832) 413-4780 with copies to:</w:t>
      </w:r>
    </w:p>
    <w:p>
      <w:pPr>
        <w:spacing w:after="0" w:line="1" w:lineRule="exact"/>
        <w:rPr>
          <w:rFonts w:ascii="Arial" w:cs="Arial" w:eastAsia="Arial" w:hAnsi="Arial"/>
          <w:sz w:val="22"/>
          <w:szCs w:val="22"/>
          <w:color w:val="auto"/>
        </w:rPr>
      </w:pPr>
    </w:p>
    <w:p>
      <w:pPr>
        <w:ind w:left="1740" w:right="5180"/>
        <w:spacing w:after="0" w:line="230" w:lineRule="auto"/>
        <w:rPr>
          <w:rFonts w:ascii="Arial" w:cs="Arial" w:eastAsia="Arial" w:hAnsi="Arial"/>
          <w:sz w:val="22"/>
          <w:szCs w:val="22"/>
          <w:color w:val="auto"/>
        </w:rPr>
      </w:pPr>
      <w:r>
        <w:rPr>
          <w:rFonts w:ascii="Arial" w:cs="Arial" w:eastAsia="Arial" w:hAnsi="Arial"/>
          <w:sz w:val="22"/>
          <w:szCs w:val="22"/>
          <w:color w:val="auto"/>
        </w:rPr>
        <w:t>Summit Midstream Partners, LLC Attn: Heath Deneke, President &amp; CEO 910 Louisiana Street Suite 4200</w:t>
      </w:r>
    </w:p>
    <w:p>
      <w:pPr>
        <w:spacing w:after="0" w:line="1" w:lineRule="exact"/>
        <w:rPr>
          <w:rFonts w:ascii="Arial" w:cs="Arial" w:eastAsia="Arial" w:hAnsi="Arial"/>
          <w:sz w:val="22"/>
          <w:szCs w:val="22"/>
          <w:color w:val="auto"/>
        </w:rPr>
      </w:pPr>
    </w:p>
    <w:p>
      <w:pPr>
        <w:ind w:left="1740" w:right="5920"/>
        <w:spacing w:after="0" w:line="287" w:lineRule="auto"/>
        <w:rPr>
          <w:rFonts w:ascii="Arial" w:cs="Arial" w:eastAsia="Arial" w:hAnsi="Arial"/>
          <w:sz w:val="22"/>
          <w:szCs w:val="22"/>
          <w:color w:val="auto"/>
        </w:rPr>
      </w:pPr>
      <w:r>
        <w:rPr>
          <w:rFonts w:ascii="Arial" w:cs="Arial" w:eastAsia="Arial" w:hAnsi="Arial"/>
          <w:sz w:val="19"/>
          <w:szCs w:val="19"/>
          <w:color w:val="auto"/>
        </w:rPr>
        <w:t>Houston, Texas 77042 Facsimile: (832) 413-4780 Heath.deneke@summitmidstream.com</w:t>
      </w:r>
    </w:p>
    <w:p>
      <w:pPr>
        <w:spacing w:after="0" w:line="372"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And</w:t>
      </w:r>
    </w:p>
    <w:p>
      <w:pPr>
        <w:spacing w:after="0" w:line="233"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Locke Lord LLP</w:t>
      </w:r>
    </w:p>
    <w:p>
      <w:pPr>
        <w:spacing w:after="0" w:line="8" w:lineRule="exact"/>
        <w:rPr>
          <w:rFonts w:ascii="Arial" w:cs="Arial" w:eastAsia="Arial" w:hAnsi="Arial"/>
          <w:sz w:val="22"/>
          <w:szCs w:val="22"/>
          <w:color w:val="auto"/>
        </w:rPr>
      </w:pPr>
    </w:p>
    <w:p>
      <w:pPr>
        <w:ind w:left="1740" w:right="4900"/>
        <w:spacing w:after="0" w:line="230" w:lineRule="auto"/>
        <w:rPr>
          <w:rFonts w:ascii="Arial" w:cs="Arial" w:eastAsia="Arial" w:hAnsi="Arial"/>
          <w:sz w:val="22"/>
          <w:szCs w:val="22"/>
          <w:color w:val="auto"/>
        </w:rPr>
      </w:pPr>
      <w:r>
        <w:rPr>
          <w:rFonts w:ascii="Arial" w:cs="Arial" w:eastAsia="Arial" w:hAnsi="Arial"/>
          <w:sz w:val="22"/>
          <w:szCs w:val="22"/>
          <w:color w:val="auto"/>
        </w:rPr>
        <w:t>Attn: Jeffrey M. McPhaul, Partner 2800 JPMorgan Chase Tower</w:t>
      </w:r>
    </w:p>
    <w:p>
      <w:pPr>
        <w:spacing w:after="0" w:line="1"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600 Travis St.</w:t>
      </w:r>
    </w:p>
    <w:p>
      <w:pPr>
        <w:spacing w:after="0" w:line="215" w:lineRule="exact"/>
        <w:rPr>
          <w:sz w:val="20"/>
          <w:szCs w:val="20"/>
          <w:color w:val="auto"/>
        </w:rPr>
      </w:pPr>
    </w:p>
    <w:p>
      <w:pPr>
        <w:ind w:left="1960" w:hanging="226"/>
        <w:spacing w:after="0"/>
        <w:tabs>
          <w:tab w:leader="none" w:pos="196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713-226-1269</w:t>
      </w:r>
    </w:p>
    <w:p>
      <w:pPr>
        <w:spacing w:after="0" w:line="8" w:lineRule="exact"/>
        <w:rPr>
          <w:rFonts w:ascii="Arial" w:cs="Arial" w:eastAsia="Arial" w:hAnsi="Arial"/>
          <w:sz w:val="22"/>
          <w:szCs w:val="22"/>
          <w:color w:val="auto"/>
        </w:rPr>
      </w:pPr>
    </w:p>
    <w:p>
      <w:pPr>
        <w:ind w:left="1740" w:right="7040" w:hanging="6"/>
        <w:spacing w:after="0" w:line="308" w:lineRule="auto"/>
        <w:tabs>
          <w:tab w:leader="none" w:pos="196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713-229-2537 jmcphaul@lockelord.com</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198" w:name="page199"/>
    <w:bookmarkEnd w:id="198"/>
    <w:p>
      <w:pPr>
        <w:ind w:left="40"/>
        <w:spacing w:after="0"/>
        <w:rPr>
          <w:sz w:val="20"/>
          <w:szCs w:val="20"/>
          <w:color w:val="auto"/>
        </w:rPr>
      </w:pPr>
      <w:r>
        <w:rPr>
          <w:rFonts w:ascii="Arial" w:cs="Arial" w:eastAsia="Arial" w:hAnsi="Arial"/>
          <w:sz w:val="22"/>
          <w:szCs w:val="22"/>
          <w:color w:val="auto"/>
        </w:rPr>
        <w:t>If to the Executive, at the address set forth on the signature page hereto.</w:t>
      </w:r>
    </w:p>
    <w:p>
      <w:pPr>
        <w:spacing w:after="0" w:line="214" w:lineRule="exact"/>
        <w:rPr>
          <w:sz w:val="20"/>
          <w:szCs w:val="20"/>
          <w:color w:val="auto"/>
        </w:rPr>
      </w:pPr>
    </w:p>
    <w:p>
      <w:pPr>
        <w:ind w:left="880" w:hanging="844"/>
        <w:spacing w:after="0"/>
        <w:tabs>
          <w:tab w:leader="none" w:pos="88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ounterparts</w:t>
      </w:r>
      <w:r>
        <w:rPr>
          <w:rFonts w:ascii="Arial" w:cs="Arial" w:eastAsia="Arial" w:hAnsi="Arial"/>
          <w:sz w:val="22"/>
          <w:szCs w:val="22"/>
          <w:color w:val="auto"/>
        </w:rPr>
        <w:t>. This Agreement may be executed in several counterparts, each of which</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shall be deemed to be an original, but all of which together will constitute one and the same Agreement.</w:t>
      </w:r>
    </w:p>
    <w:p>
      <w:pPr>
        <w:spacing w:after="0" w:line="182" w:lineRule="exact"/>
        <w:rPr>
          <w:sz w:val="20"/>
          <w:szCs w:val="20"/>
          <w:color w:val="auto"/>
        </w:rPr>
      </w:pPr>
    </w:p>
    <w:p>
      <w:pPr>
        <w:ind w:left="880" w:hanging="844"/>
        <w:spacing w:after="0"/>
        <w:tabs>
          <w:tab w:leader="none" w:pos="88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ntire Agreement.</w:t>
      </w:r>
      <w:r>
        <w:rPr>
          <w:rFonts w:ascii="Arial" w:cs="Arial" w:eastAsia="Arial" w:hAnsi="Arial"/>
          <w:sz w:val="22"/>
          <w:szCs w:val="22"/>
          <w:color w:val="auto"/>
        </w:rPr>
        <w:t>This Agreement (together with any other agreements and</w:t>
      </w:r>
    </w:p>
    <w:p>
      <w:pPr>
        <w:spacing w:after="0" w:line="1" w:lineRule="exact"/>
        <w:rPr>
          <w:sz w:val="20"/>
          <w:szCs w:val="20"/>
          <w:color w:val="auto"/>
        </w:rPr>
      </w:pPr>
    </w:p>
    <w:p>
      <w:pPr>
        <w:jc w:val="both"/>
        <w:ind w:left="40"/>
        <w:spacing w:after="0" w:line="244" w:lineRule="auto"/>
        <w:rPr>
          <w:sz w:val="20"/>
          <w:szCs w:val="20"/>
          <w:color w:val="auto"/>
        </w:rPr>
      </w:pPr>
      <w:r>
        <w:rPr>
          <w:rFonts w:ascii="Arial" w:cs="Arial" w:eastAsia="Arial" w:hAnsi="Arial"/>
          <w:sz w:val="21"/>
          <w:szCs w:val="21"/>
          <w:color w:val="auto"/>
        </w:rPr>
        <w:t>instruments contemplated hereby or referred to herein) is intended by the parties hereto to be the final expression of their agreement with respect to the employment of the Executive by the Company and may not be contradicted by evidence of any prior or contemporaneous agreement (including, without limitation, any term sheet or offer letter). The parties hereto further intend that this Agreement shall constitute the complete and exclusive statement of its terms and that no extrinsic evidence whatsoever may be introduced in any judicial, administrative, or other legal proceeding to vary the terms of this Agreement. This Agreement expressly supersedes the Original Employment Agreement.</w:t>
      </w:r>
    </w:p>
    <w:p>
      <w:pPr>
        <w:spacing w:after="0" w:line="177" w:lineRule="exact"/>
        <w:rPr>
          <w:sz w:val="20"/>
          <w:szCs w:val="20"/>
          <w:color w:val="auto"/>
        </w:rPr>
      </w:pPr>
    </w:p>
    <w:p>
      <w:pPr>
        <w:ind w:left="880" w:hanging="844"/>
        <w:spacing w:after="0"/>
        <w:tabs>
          <w:tab w:leader="none" w:pos="88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22"/>
          <w:szCs w:val="22"/>
          <w:b w:val="1"/>
          <w:bCs w:val="1"/>
          <w:u w:val="single" w:color="auto"/>
          <w:color w:val="auto"/>
        </w:rPr>
        <w:t>mendments; Waivers</w:t>
      </w:r>
      <w:r>
        <w:rPr>
          <w:rFonts w:ascii="Arial" w:cs="Arial" w:eastAsia="Arial" w:hAnsi="Arial"/>
          <w:sz w:val="22"/>
          <w:szCs w:val="22"/>
          <w:color w:val="auto"/>
        </w:rPr>
        <w:t>. This Agreement may not be modified, amended, or terminated</w:t>
      </w:r>
    </w:p>
    <w:p>
      <w:pPr>
        <w:spacing w:after="0" w:line="20" w:lineRule="exact"/>
        <w:rPr>
          <w:sz w:val="20"/>
          <w:szCs w:val="20"/>
          <w:color w:val="auto"/>
        </w:rPr>
      </w:pPr>
    </w:p>
    <w:p>
      <w:pPr>
        <w:jc w:val="both"/>
        <w:ind w:left="40"/>
        <w:spacing w:after="0" w:line="232" w:lineRule="auto"/>
        <w:rPr>
          <w:sz w:val="20"/>
          <w:szCs w:val="20"/>
          <w:color w:val="auto"/>
        </w:rPr>
      </w:pPr>
      <w:r>
        <w:rPr>
          <w:rFonts w:ascii="Arial" w:cs="Arial" w:eastAsia="Arial" w:hAnsi="Arial"/>
          <w:sz w:val="22"/>
          <w:szCs w:val="22"/>
          <w:color w:val="auto"/>
        </w:rPr>
        <w:t>except by an instrument in writing, signed by the Executive and a duly authorized officer of the Company and approved by the Board, which expressly identifies the amended provision of this Agreement. By an instrument in writing similarly executed and approved by the Board, the Executive or a duly authorized officer of the Company may waive compliance by the other party or parties hereto with any provision of this Agreement that such other party was or is obligated to comply with or perform; provided, however,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80" w:lineRule="exact"/>
        <w:rPr>
          <w:sz w:val="20"/>
          <w:szCs w:val="20"/>
          <w:color w:val="auto"/>
        </w:rPr>
      </w:pPr>
    </w:p>
    <w:p>
      <w:pPr>
        <w:ind w:left="880" w:hanging="844"/>
        <w:spacing w:after="0"/>
        <w:tabs>
          <w:tab w:leader="none" w:pos="88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22"/>
          <w:szCs w:val="22"/>
          <w:b w:val="1"/>
          <w:bCs w:val="1"/>
          <w:u w:val="single" w:color="auto"/>
          <w:color w:val="auto"/>
        </w:rPr>
        <w:t>o Inconsistent Actions</w:t>
      </w:r>
      <w:r>
        <w:rPr>
          <w:rFonts w:ascii="Arial" w:cs="Arial" w:eastAsia="Arial" w:hAnsi="Arial"/>
          <w:sz w:val="22"/>
          <w:szCs w:val="22"/>
          <w:color w:val="auto"/>
        </w:rPr>
        <w:t>. The parties hereto shall not voluntarily undertake or fail to</w:t>
      </w:r>
    </w:p>
    <w:p>
      <w:pPr>
        <w:spacing w:after="0" w:line="20"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1" w:lineRule="exact"/>
        <w:rPr>
          <w:sz w:val="20"/>
          <w:szCs w:val="20"/>
          <w:color w:val="auto"/>
        </w:rPr>
      </w:pPr>
    </w:p>
    <w:p>
      <w:pPr>
        <w:ind w:left="880" w:hanging="844"/>
        <w:spacing w:after="0"/>
        <w:tabs>
          <w:tab w:leader="none" w:pos="880"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onstruction</w:t>
      </w:r>
      <w:r>
        <w:rPr>
          <w:rFonts w:ascii="Arial" w:cs="Arial" w:eastAsia="Arial" w:hAnsi="Arial"/>
          <w:sz w:val="22"/>
          <w:szCs w:val="22"/>
          <w:color w:val="auto"/>
        </w:rPr>
        <w:t>. This Agreement shall be deemed drafted equally by both of the parties</w:t>
      </w:r>
    </w:p>
    <w:p>
      <w:pPr>
        <w:spacing w:after="0" w:line="20" w:lineRule="exact"/>
        <w:rPr>
          <w:sz w:val="20"/>
          <w:szCs w:val="20"/>
          <w:color w:val="auto"/>
        </w:rPr>
      </w:pPr>
    </w:p>
    <w:p>
      <w:pPr>
        <w:jc w:val="both"/>
        <w:ind w:left="40"/>
        <w:spacing w:after="0" w:line="243" w:lineRule="auto"/>
        <w:rPr>
          <w:sz w:val="20"/>
          <w:szCs w:val="20"/>
          <w:color w:val="auto"/>
        </w:rPr>
      </w:pPr>
      <w:r>
        <w:rPr>
          <w:rFonts w:ascii="Arial" w:cs="Arial" w:eastAsia="Arial" w:hAnsi="Arial"/>
          <w:sz w:val="21"/>
          <w:szCs w:val="21"/>
          <w:color w:val="auto"/>
        </w:rPr>
        <w:t>hereto. Its language shall be construed as a whole and 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280" w:right="479" w:bottom="1440" w:gutter="0" w:footer="0" w:header="0"/>
        </w:sectPr>
      </w:pPr>
    </w:p>
    <w:bookmarkStart w:id="199" w:name="page200"/>
    <w:bookmarkEnd w:id="199"/>
    <w:p>
      <w:pPr>
        <w:ind w:left="40" w:right="20"/>
        <w:spacing w:after="0" w:line="250" w:lineRule="auto"/>
        <w:rPr>
          <w:sz w:val="20"/>
          <w:szCs w:val="20"/>
          <w:color w:val="auto"/>
        </w:rPr>
      </w:pPr>
      <w:r>
        <w:rPr>
          <w:rFonts w:ascii="Arial" w:cs="Arial" w:eastAsia="Arial" w:hAnsi="Arial"/>
          <w:sz w:val="22"/>
          <w:szCs w:val="22"/>
          <w:color w:val="auto"/>
        </w:rPr>
        <w:t>variations thereof shall be deemed to refer to the masculine, feminine, neuter, singular or plural as the identity of the entities or persons referred to may require.</w:t>
      </w:r>
    </w:p>
    <w:p>
      <w:pPr>
        <w:spacing w:after="0" w:line="155" w:lineRule="exact"/>
        <w:rPr>
          <w:sz w:val="20"/>
          <w:szCs w:val="20"/>
          <w:color w:val="auto"/>
        </w:rPr>
      </w:pPr>
    </w:p>
    <w:p>
      <w:pPr>
        <w:ind w:left="880" w:hanging="844"/>
        <w:spacing w:after="0"/>
        <w:tabs>
          <w:tab w:leader="none" w:pos="88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22"/>
          <w:szCs w:val="22"/>
          <w:b w:val="1"/>
          <w:bCs w:val="1"/>
          <w:u w:val="single" w:color="auto"/>
          <w:color w:val="auto"/>
        </w:rPr>
        <w:t>rbitration</w:t>
      </w:r>
      <w:r>
        <w:rPr>
          <w:rFonts w:ascii="Arial" w:cs="Arial" w:eastAsia="Arial" w:hAnsi="Arial"/>
          <w:sz w:val="22"/>
          <w:szCs w:val="22"/>
          <w:color w:val="auto"/>
        </w:rPr>
        <w:t>.Any dispute or controversy based on, arising under or relating to this</w:t>
      </w:r>
    </w:p>
    <w:p>
      <w:pPr>
        <w:spacing w:after="0" w:line="20" w:lineRule="exact"/>
        <w:rPr>
          <w:sz w:val="20"/>
          <w:szCs w:val="20"/>
          <w:color w:val="auto"/>
        </w:rPr>
      </w:pPr>
    </w:p>
    <w:p>
      <w:pPr>
        <w:jc w:val="both"/>
        <w:ind w:left="40"/>
        <w:spacing w:after="0" w:line="242" w:lineRule="auto"/>
        <w:rPr>
          <w:sz w:val="20"/>
          <w:szCs w:val="20"/>
          <w:color w:val="auto"/>
        </w:rPr>
      </w:pPr>
      <w:r>
        <w:rPr>
          <w:rFonts w:ascii="Arial" w:cs="Arial" w:eastAsia="Arial" w:hAnsi="Arial"/>
          <w:sz w:val="21"/>
          <w:szCs w:val="21"/>
          <w:color w:val="auto"/>
        </w:rPr>
        <w:t>Agreement shall be settled exclusively by final and binding arbitration, conducted before a single neutral arbitrator in Houston, Texas in accordance with the Employment Arbitration Rules and Mediation Procedures of the American Arbitration Association (the “</w:t>
      </w:r>
      <w:r>
        <w:rPr>
          <w:rFonts w:ascii="Arial" w:cs="Arial" w:eastAsia="Arial" w:hAnsi="Arial"/>
          <w:sz w:val="21"/>
          <w:szCs w:val="21"/>
          <w:u w:val="single" w:color="auto"/>
          <w:color w:val="auto"/>
        </w:rPr>
        <w:t>AAA</w:t>
      </w:r>
      <w:r>
        <w:rPr>
          <w:rFonts w:ascii="Arial" w:cs="Arial" w:eastAsia="Arial" w:hAnsi="Arial"/>
          <w:sz w:val="21"/>
          <w:szCs w:val="21"/>
          <w:color w:val="auto"/>
        </w:rPr>
        <w:t xml:space="preserve">”) then in effect. Due to the interstate nature of the Company’s operations, the parties agree that the Federal Arbitration Act shall apply to this Agreement. Arbitration may be compelled, and judgment may be entered on the arbitration award in any court having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be entitled to seek a restraining order or injunction in any court of competent jurisdiction to prevent any continuation of any violation of the provisions of Section 7, and the Executive hereby consents that such restraining order or injunction may be granted without requiring the Company to post a bond (or, if required by applicable law, a bond of $500). Only individuals who are (a) lawyers engaged full-time in the practice of law and (b) on the AAA roster of arbitrators shall be selected as an arbitrator. Within twenty (20) days of the conclusion of the arbitration hearing, the arbitrator shall prepare written findings of fact and conclusions of law. The arbitrator shall be entitled to award any relief available in a court of law. Each party shall bear its own costs and attorneys’ fees in connection with an arbitration;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bear the cost of the arbitrator and the AAA’s administrative fees.</w:t>
      </w:r>
    </w:p>
    <w:p>
      <w:pPr>
        <w:spacing w:after="0" w:line="172" w:lineRule="exact"/>
        <w:rPr>
          <w:sz w:val="20"/>
          <w:szCs w:val="20"/>
          <w:color w:val="auto"/>
        </w:rPr>
      </w:pPr>
    </w:p>
    <w:p>
      <w:pPr>
        <w:ind w:left="880" w:hanging="844"/>
        <w:spacing w:after="0"/>
        <w:tabs>
          <w:tab w:leader="none" w:pos="88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22"/>
          <w:szCs w:val="22"/>
          <w:b w:val="1"/>
          <w:bCs w:val="1"/>
          <w:u w:val="single" w:color="auto"/>
          <w:color w:val="auto"/>
        </w:rPr>
        <w:t>otice of Immunity</w:t>
      </w:r>
      <w:r>
        <w:rPr>
          <w:rFonts w:ascii="Arial" w:cs="Arial" w:eastAsia="Arial" w:hAnsi="Arial"/>
          <w:sz w:val="22"/>
          <w:szCs w:val="22"/>
          <w:color w:val="auto"/>
        </w:rPr>
        <w:t>. The Executive acknowledges that the Company has provided the</w:t>
      </w:r>
    </w:p>
    <w:p>
      <w:pPr>
        <w:spacing w:after="0" w:line="20" w:lineRule="exact"/>
        <w:rPr>
          <w:sz w:val="20"/>
          <w:szCs w:val="20"/>
          <w:color w:val="auto"/>
        </w:rPr>
      </w:pPr>
    </w:p>
    <w:p>
      <w:pPr>
        <w:jc w:val="both"/>
        <w:ind w:left="40"/>
        <w:spacing w:after="0" w:line="268" w:lineRule="auto"/>
        <w:rPr>
          <w:sz w:val="20"/>
          <w:szCs w:val="20"/>
          <w:color w:val="auto"/>
        </w:rPr>
      </w:pPr>
      <w:r>
        <w:rPr>
          <w:rFonts w:ascii="Arial" w:cs="Arial" w:eastAsia="Arial" w:hAnsi="Arial"/>
          <w:sz w:val="19"/>
          <w:szCs w:val="19"/>
          <w:color w:val="auto"/>
        </w:rPr>
        <w:t>Executive with the following notice of immunity rights in compliance with the requirements of the Defend Trade Secrets Act of 2016: (i) the Executive shall not be held criminally or civilly liable under any U.S. federal or state trade secret law for the disclosure of Proprietary Information that is made in confidence to a U.S. federal, state or local government official or to an attorney solely for the purpose of reporting or investigating a suspected violation of law; (ii) the Executive shall not be held criminally or civilly liable under any U.S. federal or state trade secret law for the disclosure of Proprietary Information that is made in a complaint or other document filed in a lawsuit or other proceeding, if such filing is made under seal; and (iii) if the Executive files a lawsuit for retaliation by the Company for reporting a suspected violation of law, the Executive may disclose the Proprietary Information to the Executive’s attorney and use the Proprietary Information in the court proceeding, if the Executive files any document containing the Proprietary Information under seal, and does not disclose the Proprietary Information, except pursuant to court order. However, under no circumstance will the Executive be authorized to disclose any information covered by attorney-client privilege or attorney work product of the Company without prior written consent of the Company’s General Counsel or other officer designated by the Company. Notwithstanding anything to the contrary contained herein, no provision of this Agreement shall be interpreted so as to impede the Executive (or any other individual) from reporting possible violations of U.S. federal law or regulation to any governmental agency or entity, including but not limited to the U.S. Department of Justice, the</w:t>
      </w:r>
    </w:p>
    <w:p>
      <w:pPr>
        <w:spacing w:after="0" w:line="229" w:lineRule="exact"/>
        <w:rPr>
          <w:sz w:val="20"/>
          <w:szCs w:val="20"/>
          <w:color w:val="auto"/>
        </w:rPr>
      </w:pPr>
    </w:p>
    <w:p>
      <w:pPr>
        <w:jc w:val="both"/>
        <w:ind w:left="40"/>
        <w:spacing w:after="0" w:line="233" w:lineRule="auto"/>
        <w:rPr>
          <w:sz w:val="20"/>
          <w:szCs w:val="20"/>
          <w:color w:val="auto"/>
        </w:rPr>
      </w:pPr>
      <w:r>
        <w:rPr>
          <w:rFonts w:ascii="Arial" w:cs="Arial" w:eastAsia="Arial" w:hAnsi="Arial"/>
          <w:sz w:val="22"/>
          <w:szCs w:val="22"/>
          <w:color w:val="auto"/>
        </w:rPr>
        <w:t>U.S. Securities and Exchange Commission, the U.S. Congress, and any agency Inspector General of the U.S. government, or making other disclosures under the whistleblower provisions of U.S. federal law or regulation. The Executive does not need the prior authorization of the Company to make any such reports or disclosures and the Executive shall not be required to notify the Company that such reports or disclosures have been made.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72" w:right="479" w:bottom="1440" w:gutter="0" w:footer="0" w:header="0"/>
        </w:sectPr>
      </w:pPr>
    </w:p>
    <w:bookmarkStart w:id="200" w:name="page201"/>
    <w:bookmarkEnd w:id="200"/>
    <w:p>
      <w:pPr>
        <w:ind w:left="880" w:hanging="844"/>
        <w:spacing w:after="0"/>
        <w:tabs>
          <w:tab w:leader="none" w:pos="88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nforcement</w:t>
      </w:r>
      <w:r>
        <w:rPr>
          <w:rFonts w:ascii="Arial" w:cs="Arial" w:eastAsia="Arial" w:hAnsi="Arial"/>
          <w:sz w:val="22"/>
          <w:szCs w:val="22"/>
          <w:color w:val="auto"/>
        </w:rPr>
        <w:t>. The invalidity or unenforceability of any provision or provisions of this</w:t>
      </w:r>
    </w:p>
    <w:p>
      <w:pPr>
        <w:spacing w:after="0" w:line="15" w:lineRule="exact"/>
        <w:rPr>
          <w:sz w:val="20"/>
          <w:szCs w:val="20"/>
          <w:color w:val="auto"/>
        </w:rPr>
      </w:pPr>
    </w:p>
    <w:p>
      <w:pPr>
        <w:jc w:val="both"/>
        <w:ind w:left="40"/>
        <w:spacing w:after="0" w:line="272" w:lineRule="auto"/>
        <w:rPr>
          <w:sz w:val="20"/>
          <w:szCs w:val="20"/>
          <w:color w:val="auto"/>
        </w:rPr>
      </w:pPr>
      <w:r>
        <w:rPr>
          <w:rFonts w:ascii="Arial" w:cs="Arial" w:eastAsia="Arial" w:hAnsi="Arial"/>
          <w:sz w:val="19"/>
          <w:szCs w:val="19"/>
          <w:color w:val="auto"/>
        </w:rPr>
        <w:t>Agreement shall not affect the validity or enforceability of any other provision of this Agreement, which shall remain in full force and effect.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2" w:lineRule="exact"/>
        <w:rPr>
          <w:sz w:val="20"/>
          <w:szCs w:val="20"/>
          <w:color w:val="auto"/>
        </w:rPr>
      </w:pPr>
    </w:p>
    <w:p>
      <w:pPr>
        <w:ind w:left="880" w:hanging="844"/>
        <w:spacing w:after="0"/>
        <w:tabs>
          <w:tab w:leader="none" w:pos="88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aiver of Breach.</w:t>
      </w:r>
      <w:r>
        <w:rPr>
          <w:rFonts w:ascii="Arial" w:cs="Arial" w:eastAsia="Arial" w:hAnsi="Arial"/>
          <w:sz w:val="22"/>
          <w:szCs w:val="22"/>
          <w:b w:val="1"/>
          <w:bCs w:val="1"/>
          <w:color w:val="auto"/>
        </w:rPr>
        <w:t xml:space="preserve"> </w:t>
      </w:r>
      <w:r>
        <w:rPr>
          <w:rFonts w:ascii="Arial" w:cs="Arial" w:eastAsia="Arial" w:hAnsi="Arial"/>
          <w:sz w:val="22"/>
          <w:szCs w:val="22"/>
          <w:color w:val="auto"/>
        </w:rPr>
        <w:t>Failure of the Company to demand strict compliance with any of the</w:t>
      </w:r>
    </w:p>
    <w:p>
      <w:pPr>
        <w:spacing w:after="0" w:line="14"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terms, covenants or conditions hereof will not be deemed a waiver of the term, covenant or condition, nor will any waiver or relinquishment by the Company of any right or power under this Agreement at any one time or more times be deemed a waiver or relinquishment of the right or power at any other time or times.</w:t>
      </w:r>
    </w:p>
    <w:p>
      <w:pPr>
        <w:spacing w:after="0" w:line="168" w:lineRule="exact"/>
        <w:rPr>
          <w:sz w:val="20"/>
          <w:szCs w:val="20"/>
          <w:color w:val="auto"/>
        </w:rPr>
      </w:pPr>
    </w:p>
    <w:p>
      <w:pPr>
        <w:ind w:left="880" w:hanging="844"/>
        <w:spacing w:after="0"/>
        <w:tabs>
          <w:tab w:leader="none" w:pos="88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ithholding</w:t>
      </w:r>
      <w:r>
        <w:rPr>
          <w:rFonts w:ascii="Arial" w:cs="Arial" w:eastAsia="Arial" w:hAnsi="Arial"/>
          <w:sz w:val="22"/>
          <w:szCs w:val="22"/>
          <w:color w:val="auto"/>
        </w:rPr>
        <w:t>. The Company shall be entitled to withhold from any amounts payable</w:t>
      </w:r>
    </w:p>
    <w:p>
      <w:pPr>
        <w:spacing w:after="0" w:line="14" w:lineRule="exact"/>
        <w:rPr>
          <w:sz w:val="20"/>
          <w:szCs w:val="20"/>
          <w:color w:val="auto"/>
        </w:rPr>
      </w:pPr>
    </w:p>
    <w:p>
      <w:pPr>
        <w:jc w:val="both"/>
        <w:ind w:left="40"/>
        <w:spacing w:after="0" w:line="234" w:lineRule="auto"/>
        <w:rPr>
          <w:sz w:val="20"/>
          <w:szCs w:val="20"/>
          <w:color w:val="auto"/>
        </w:rPr>
      </w:pPr>
      <w:r>
        <w:rPr>
          <w:rFonts w:ascii="Arial" w:cs="Arial" w:eastAsia="Arial" w:hAnsi="Arial"/>
          <w:sz w:val="22"/>
          <w:szCs w:val="22"/>
          <w:color w:val="auto"/>
        </w:rPr>
        <w:t>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8" w:lineRule="exact"/>
        <w:rPr>
          <w:sz w:val="20"/>
          <w:szCs w:val="20"/>
          <w:color w:val="auto"/>
        </w:rPr>
      </w:pPr>
    </w:p>
    <w:p>
      <w:pPr>
        <w:ind w:left="880" w:hanging="844"/>
        <w:spacing w:after="0"/>
        <w:tabs>
          <w:tab w:leader="none" w:pos="880" w:val="left"/>
        </w:tabs>
        <w:numPr>
          <w:ilvl w:val="0"/>
          <w:numId w:val="216"/>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22"/>
          <w:szCs w:val="22"/>
          <w:b w:val="1"/>
          <w:bCs w:val="1"/>
          <w:u w:val="single" w:color="auto"/>
          <w:color w:val="auto"/>
        </w:rPr>
        <w:t>bsence of Conflicts; Executive Acknowledgement</w:t>
      </w:r>
      <w:r>
        <w:rPr>
          <w:rFonts w:ascii="Arial" w:cs="Arial" w:eastAsia="Arial" w:hAnsi="Arial"/>
          <w:sz w:val="22"/>
          <w:szCs w:val="22"/>
          <w:color w:val="auto"/>
        </w:rPr>
        <w:t>. The Executive hereby represents</w:t>
      </w:r>
    </w:p>
    <w:p>
      <w:pPr>
        <w:spacing w:after="0" w:line="20" w:lineRule="exact"/>
        <w:rPr>
          <w:sz w:val="20"/>
          <w:szCs w:val="20"/>
          <w:color w:val="auto"/>
        </w:rPr>
      </w:pPr>
    </w:p>
    <w:p>
      <w:pPr>
        <w:jc w:val="both"/>
        <w:ind w:left="40"/>
        <w:spacing w:after="0" w:line="280" w:lineRule="auto"/>
        <w:rPr>
          <w:sz w:val="20"/>
          <w:szCs w:val="20"/>
          <w:color w:val="auto"/>
        </w:rPr>
      </w:pPr>
      <w:r>
        <w:rPr>
          <w:rFonts w:ascii="Arial" w:cs="Arial" w:eastAsia="Arial" w:hAnsi="Arial"/>
          <w:sz w:val="19"/>
          <w:szCs w:val="19"/>
          <w:color w:val="auto"/>
        </w:rPr>
        <w:t>that from and after the Effective Date the 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w:t>
      </w:r>
    </w:p>
    <w:p>
      <w:pPr>
        <w:spacing w:after="0" w:line="131" w:lineRule="exact"/>
        <w:rPr>
          <w:sz w:val="20"/>
          <w:szCs w:val="20"/>
          <w:color w:val="auto"/>
        </w:rPr>
      </w:pPr>
    </w:p>
    <w:p>
      <w:pPr>
        <w:ind w:left="40" w:right="2880" w:hanging="4"/>
        <w:spacing w:after="0" w:line="334" w:lineRule="auto"/>
        <w:tabs>
          <w:tab w:leader="none" w:pos="868" w:val="left"/>
        </w:tabs>
        <w:numPr>
          <w:ilvl w:val="0"/>
          <w:numId w:val="217"/>
        </w:numPr>
        <w:rPr>
          <w:rFonts w:ascii="Arial" w:cs="Arial" w:eastAsia="Arial" w:hAnsi="Arial"/>
          <w:sz w:val="19"/>
          <w:szCs w:val="19"/>
          <w:b w:val="1"/>
          <w:bCs w:val="1"/>
          <w:color w:val="auto"/>
        </w:rPr>
      </w:pPr>
      <w:r>
        <w:rPr>
          <w:rFonts w:ascii="Arial" w:cs="Arial" w:eastAsia="Arial" w:hAnsi="Arial"/>
          <w:sz w:val="19"/>
          <w:szCs w:val="19"/>
          <w:b w:val="1"/>
          <w:bCs w:val="1"/>
          <w:color w:val="auto"/>
        </w:rPr>
        <w:t>S</w:t>
      </w:r>
      <w:r>
        <w:rPr>
          <w:rFonts w:ascii="Arial" w:cs="Arial" w:eastAsia="Arial" w:hAnsi="Arial"/>
          <w:sz w:val="19"/>
          <w:szCs w:val="19"/>
          <w:b w:val="1"/>
          <w:bCs w:val="1"/>
          <w:u w:val="single" w:color="auto"/>
          <w:color w:val="auto"/>
        </w:rPr>
        <w:t>urvival</w:t>
      </w:r>
      <w:r>
        <w:rPr>
          <w:rFonts w:ascii="Arial" w:cs="Arial" w:eastAsia="Arial" w:hAnsi="Arial"/>
          <w:sz w:val="19"/>
          <w:szCs w:val="19"/>
          <w:color w:val="auto"/>
        </w:rPr>
        <w:t>.The expiration or termination of the Term shall not impair the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any party hereto that shall have accrued prior to such expiration or termination.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452755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00" w:top="112" w:right="479" w:bottom="1440" w:gutter="0" w:footer="0" w:header="0"/>
        </w:sectPr>
      </w:pPr>
    </w:p>
    <w:bookmarkStart w:id="201" w:name="page202"/>
    <w:bookmarkEnd w:id="201"/>
    <w:p>
      <w:pPr>
        <w:spacing w:after="0"/>
        <w:rPr>
          <w:sz w:val="20"/>
          <w:szCs w:val="20"/>
          <w:color w:val="auto"/>
        </w:rPr>
      </w:pPr>
      <w:r>
        <w:rPr>
          <w:rFonts w:ascii="Arial" w:cs="Arial" w:eastAsia="Arial" w:hAnsi="Arial"/>
          <w:sz w:val="19"/>
          <w:szCs w:val="19"/>
          <w:color w:val="auto"/>
        </w:rPr>
        <w:t>IN WITNESS WHEREOF, the parties hereto have executed this Agreement on the date and year first above written.</w:t>
      </w:r>
    </w:p>
    <w:p>
      <w:pPr>
        <w:sectPr>
          <w:pgSz w:w="11900" w:h="16838" w:orient="portrait"/>
          <w:cols w:equalWidth="0" w:num="1">
            <w:col w:w="10060"/>
          </w:cols>
          <w:pgMar w:left="1260" w:top="17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COMPANY</w:t>
      </w:r>
    </w:p>
    <w:p>
      <w:pPr>
        <w:spacing w:after="0" w:line="307"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ind w:left="4260"/>
        <w:spacing w:after="0" w:line="238" w:lineRule="auto"/>
        <w:rPr>
          <w:sz w:val="20"/>
          <w:szCs w:val="20"/>
          <w:color w:val="auto"/>
        </w:rPr>
      </w:pPr>
      <w:r>
        <w:rPr>
          <w:rFonts w:ascii="Arial" w:cs="Arial" w:eastAsia="Arial" w:hAnsi="Arial"/>
          <w:sz w:val="22"/>
          <w:szCs w:val="22"/>
          <w:color w:val="auto"/>
        </w:rPr>
        <w:t>Heath Deneke</w:t>
      </w:r>
    </w:p>
    <w:p>
      <w:pPr>
        <w:ind w:left="4260"/>
        <w:spacing w:after="0"/>
        <w:rPr>
          <w:sz w:val="20"/>
          <w:szCs w:val="20"/>
          <w:color w:val="auto"/>
        </w:rPr>
      </w:pP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EXECUTIVE</w:t>
      </w:r>
    </w:p>
    <w:p>
      <w:pPr>
        <w:spacing w:after="0" w:line="307"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w:t>
      </w:r>
    </w:p>
    <w:p>
      <w:pPr>
        <w:ind w:left="4260"/>
        <w:spacing w:after="0" w:line="238" w:lineRule="auto"/>
        <w:rPr>
          <w:sz w:val="20"/>
          <w:szCs w:val="20"/>
          <w:color w:val="auto"/>
        </w:rPr>
      </w:pPr>
      <w:r>
        <w:rPr>
          <w:rFonts w:ascii="Arial" w:cs="Arial" w:eastAsia="Arial" w:hAnsi="Arial"/>
          <w:sz w:val="22"/>
          <w:szCs w:val="22"/>
          <w:color w:val="auto"/>
        </w:rPr>
        <w:t>Marc Stratton 4875</w:t>
      </w:r>
    </w:p>
    <w:p>
      <w:pPr>
        <w:ind w:left="4260"/>
        <w:spacing w:after="0" w:line="230" w:lineRule="auto"/>
        <w:rPr>
          <w:sz w:val="20"/>
          <w:szCs w:val="20"/>
          <w:color w:val="auto"/>
        </w:rPr>
      </w:pPr>
      <w:r>
        <w:rPr>
          <w:rFonts w:ascii="Arial" w:cs="Arial" w:eastAsia="Arial" w:hAnsi="Arial"/>
          <w:sz w:val="22"/>
          <w:szCs w:val="22"/>
          <w:color w:val="auto"/>
        </w:rPr>
        <w:t>Lansbury Dr.</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Atlanta, Georgia 30342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355600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260" w:top="172" w:right="579" w:bottom="1440" w:gutter="0" w:footer="0" w:header="0"/>
          <w:type w:val="continuous"/>
        </w:sectPr>
      </w:pPr>
    </w:p>
    <w:bookmarkStart w:id="202" w:name="page203"/>
    <w:bookmarkEnd w:id="202"/>
    <w:p>
      <w:pPr>
        <w:jc w:val="right"/>
        <w:ind w:right="393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426" w:hanging="426"/>
        <w:spacing w:after="0"/>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Denver County, Colorado</w:t>
      </w:r>
    </w:p>
    <w:p>
      <w:pPr>
        <w:spacing w:after="0" w:line="14" w:lineRule="exact"/>
        <w:rPr>
          <w:rFonts w:ascii="Arial" w:cs="Arial" w:eastAsia="Arial" w:hAnsi="Arial"/>
          <w:sz w:val="22"/>
          <w:szCs w:val="22"/>
          <w:b w:val="1"/>
          <w:bCs w:val="1"/>
          <w:color w:val="auto"/>
        </w:rPr>
      </w:pP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Garfield County, Colorado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Mesa County, Colorado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Moffat County, Colorado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Rio Blanco County, Colorado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Weld County, Colorado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Cobb County, Georgia</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Eddy County, New Mexico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Lea County, New Mexico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Laramie County, Wyoming</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Burke County, North Dakota</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Divide County, North Dakota</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Mountrail County, North Dakota</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Williams County, North Dakota</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Dallas County, Texas</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Harris County, Texas</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Ellis County, Texas</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Johnson County, Texas</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Tarrant County, Texas</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Belmont County, Ohio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Guernsey County, Ohio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Harrison County, Ohio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Monroe County, Ohio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Noble County, Ohio</w:t>
      </w:r>
    </w:p>
    <w:p>
      <w:pPr>
        <w:ind w:left="426" w:hanging="426"/>
        <w:spacing w:after="0" w:line="230" w:lineRule="auto"/>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Doddridge County, West Virginia</w:t>
      </w:r>
    </w:p>
    <w:p>
      <w:pPr>
        <w:ind w:left="426" w:hanging="426"/>
        <w:spacing w:after="0"/>
        <w:tabs>
          <w:tab w:leader="none" w:pos="426"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Harrison County, West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364490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605"/>
          </w:cols>
          <w:pgMar w:left="854" w:top="166" w:right="1440" w:bottom="1440" w:gutter="0" w:footer="0" w:header="0"/>
        </w:sectPr>
      </w:pPr>
    </w:p>
    <w:bookmarkStart w:id="203" w:name="page204"/>
    <w:bookmarkEnd w:id="203"/>
    <w:p>
      <w:pPr>
        <w:ind w:left="4140"/>
        <w:spacing w:after="0"/>
        <w:rPr>
          <w:sz w:val="20"/>
          <w:szCs w:val="20"/>
          <w:color w:val="auto"/>
        </w:rPr>
      </w:pPr>
      <w:r>
        <w:rPr>
          <w:rFonts w:ascii="Arial" w:cs="Arial" w:eastAsia="Arial" w:hAnsi="Arial"/>
          <w:sz w:val="22"/>
          <w:szCs w:val="22"/>
          <w:b w:val="1"/>
          <w:bCs w:val="1"/>
          <w:color w:val="auto"/>
        </w:rPr>
        <w:t>EXHIBIT B RELEASE</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AGREEMENT</w:t>
      </w:r>
    </w:p>
    <w:p>
      <w:pPr>
        <w:spacing w:after="0" w:line="182" w:lineRule="exact"/>
        <w:rPr>
          <w:sz w:val="20"/>
          <w:szCs w:val="20"/>
          <w:color w:val="auto"/>
        </w:rPr>
      </w:pPr>
    </w:p>
    <w:p>
      <w:pPr>
        <w:ind w:left="240"/>
        <w:spacing w:after="0"/>
        <w:tabs>
          <w:tab w:leader="none" w:pos="4060" w:val="left"/>
          <w:tab w:leader="none" w:pos="8660" w:val="left"/>
        </w:tabs>
        <w:rPr>
          <w:sz w:val="20"/>
          <w:szCs w:val="20"/>
          <w:color w:val="auto"/>
        </w:rPr>
      </w:pPr>
      <w:r>
        <w:rPr>
          <w:rFonts w:ascii="Arial" w:cs="Arial" w:eastAsia="Arial" w:hAnsi="Arial"/>
          <w:sz w:val="22"/>
          <w:szCs w:val="22"/>
          <w:color w:val="auto"/>
        </w:rPr>
        <w:t>This Release Agreement (“R</w:t>
      </w:r>
      <w:r>
        <w:rPr>
          <w:sz w:val="20"/>
          <w:szCs w:val="20"/>
          <w:color w:val="auto"/>
        </w:rPr>
        <w:tab/>
      </w:r>
      <w:r>
        <w:rPr>
          <w:rFonts w:ascii="Arial" w:cs="Arial" w:eastAsia="Arial" w:hAnsi="Arial"/>
          <w:sz w:val="22"/>
          <w:szCs w:val="22"/>
          <w:u w:val="single" w:color="auto"/>
          <w:color w:val="auto"/>
        </w:rPr>
        <w:t>elease Agreement</w:t>
      </w:r>
      <w:r>
        <w:rPr>
          <w:rFonts w:ascii="Arial" w:cs="Arial" w:eastAsia="Arial" w:hAnsi="Arial"/>
          <w:sz w:val="22"/>
          <w:szCs w:val="22"/>
          <w:color w:val="auto"/>
        </w:rPr>
        <w:t>”) is by and between</w:t>
      </w:r>
      <w:r>
        <w:rPr>
          <w:rFonts w:ascii="Arial" w:cs="Arial" w:eastAsia="Arial" w:hAnsi="Arial"/>
          <w:sz w:val="22"/>
          <w:szCs w:val="22"/>
          <w:u w:val="single" w:color="auto"/>
          <w:color w:val="auto"/>
        </w:rPr>
        <w:t xml:space="preserve"> </w:t>
      </w:r>
      <w:r>
        <w:rPr>
          <w:rFonts w:ascii="Arial" w:cs="Arial" w:eastAsia="Arial" w:hAnsi="Arial"/>
          <w:sz w:val="22"/>
          <w:szCs w:val="22"/>
          <w:b w:val="1"/>
          <w:bCs w:val="1"/>
          <w:color w:val="auto"/>
        </w:rPr>
        <w:t>M</w:t>
      </w:r>
      <w:r>
        <w:rPr>
          <w:sz w:val="20"/>
          <w:szCs w:val="20"/>
          <w:color w:val="auto"/>
        </w:rPr>
        <w:tab/>
      </w:r>
      <w:r>
        <w:rPr>
          <w:rFonts w:ascii="Arial" w:cs="Arial" w:eastAsia="Arial" w:hAnsi="Arial"/>
          <w:sz w:val="19"/>
          <w:szCs w:val="19"/>
          <w:b w:val="1"/>
          <w:bCs w:val="1"/>
          <w:u w:val="single" w:color="auto"/>
          <w:color w:val="auto"/>
        </w:rPr>
        <w:t xml:space="preserve">arc Stratton </w:t>
      </w:r>
      <w:r>
        <w:rPr>
          <w:rFonts w:ascii="Arial" w:cs="Arial" w:eastAsia="Arial" w:hAnsi="Arial"/>
          <w:sz w:val="19"/>
          <w:szCs w:val="19"/>
          <w:color w:val="auto"/>
        </w:rPr>
        <w:t>(the</w:t>
      </w:r>
    </w:p>
    <w:p>
      <w:pPr>
        <w:spacing w:after="0" w:line="20" w:lineRule="exact"/>
        <w:rPr>
          <w:sz w:val="20"/>
          <w:szCs w:val="20"/>
          <w:color w:val="auto"/>
        </w:rPr>
      </w:pPr>
    </w:p>
    <w:p>
      <w:pPr>
        <w:spacing w:after="0" w:line="138" w:lineRule="exact"/>
        <w:rPr>
          <w:sz w:val="20"/>
          <w:szCs w:val="20"/>
          <w:color w:val="auto"/>
        </w:rPr>
      </w:pPr>
    </w:p>
    <w:p>
      <w:pPr>
        <w:jc w:val="both"/>
        <w:ind w:right="120"/>
        <w:spacing w:after="0" w:line="250" w:lineRule="auto"/>
        <w:rPr>
          <w:sz w:val="20"/>
          <w:szCs w:val="20"/>
          <w:color w:val="auto"/>
        </w:rPr>
      </w:pPr>
      <w:r>
        <w:rPr>
          <w:rFonts w:ascii="Arial" w:cs="Arial" w:eastAsia="Arial" w:hAnsi="Arial"/>
          <w:sz w:val="22"/>
          <w:szCs w:val="22"/>
          <w:color w:val="auto"/>
        </w:rPr>
        <w:t>“Executive”) and Summit Operating Services Company, LLC (the “</w:t>
      </w:r>
      <w:r>
        <w:rPr>
          <w:rFonts w:ascii="Arial" w:cs="Arial" w:eastAsia="Arial" w:hAnsi="Arial"/>
          <w:sz w:val="22"/>
          <w:szCs w:val="22"/>
          <w:u w:val="single" w:color="auto"/>
          <w:color w:val="auto"/>
        </w:rPr>
        <w:t>Company</w:t>
      </w:r>
      <w:r>
        <w:rPr>
          <w:rFonts w:ascii="Arial" w:cs="Arial" w:eastAsia="Arial" w:hAnsi="Arial"/>
          <w:sz w:val="22"/>
          <w:szCs w:val="22"/>
          <w:color w:val="auto"/>
        </w:rPr>
        <w:t>”). Executive and the Company may sometimes be referred to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or collectively as the “Parties”.</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firstLine="825"/>
        <w:spacing w:after="0" w:line="256" w:lineRule="auto"/>
        <w:rPr>
          <w:sz w:val="20"/>
          <w:szCs w:val="20"/>
          <w:color w:val="auto"/>
        </w:rPr>
      </w:pPr>
      <w:r>
        <w:rPr>
          <w:rFonts w:ascii="Arial" w:cs="Arial" w:eastAsia="Arial" w:hAnsi="Arial"/>
          <w:sz w:val="22"/>
          <w:szCs w:val="22"/>
          <w:color w:val="auto"/>
        </w:rPr>
        <w:t xml:space="preserve">WHEREAS, Executive and the Company previously entered into that certain Employment Agreement, dated as of </w:t>
      </w:r>
      <w:r>
        <w:rPr>
          <w:rFonts w:ascii="Arial" w:cs="Arial" w:eastAsia="Arial" w:hAnsi="Arial"/>
          <w:sz w:val="22"/>
          <w:szCs w:val="22"/>
          <w:b w:val="1"/>
          <w:bCs w:val="1"/>
          <w:color w:val="auto"/>
        </w:rPr>
        <w:t>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eptember 1, 2020</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“Employment Agreement”);</w:t>
      </w:r>
    </w:p>
    <w:p>
      <w:pPr>
        <w:spacing w:after="0" w:line="168" w:lineRule="exact"/>
        <w:rPr>
          <w:sz w:val="20"/>
          <w:szCs w:val="20"/>
          <w:color w:val="auto"/>
        </w:rPr>
      </w:pPr>
    </w:p>
    <w:p>
      <w:pPr>
        <w:jc w:val="both"/>
        <w:ind w:right="120" w:firstLine="825"/>
        <w:spacing w:after="0"/>
        <w:rPr>
          <w:sz w:val="20"/>
          <w:szCs w:val="20"/>
          <w:color w:val="auto"/>
        </w:rPr>
      </w:pPr>
      <w:r>
        <w:rPr>
          <w:rFonts w:ascii="Arial" w:cs="Arial" w:eastAsia="Arial" w:hAnsi="Arial"/>
          <w:sz w:val="22"/>
          <w:szCs w:val="22"/>
          <w:color w:val="auto"/>
        </w:rPr>
        <w:t xml:space="preserve">WHEREAS, Executive and the Company mutually agreed,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and S </w:t>
      </w:r>
      <w:r>
        <w:rPr>
          <w:rFonts w:ascii="Arial" w:cs="Arial" w:eastAsia="Arial" w:hAnsi="Arial"/>
          <w:sz w:val="22"/>
          <w:szCs w:val="22"/>
          <w:u w:val="single" w:color="auto"/>
          <w:color w:val="auto"/>
        </w:rPr>
        <w:t>ection 5(b)</w:t>
      </w:r>
      <w:r>
        <w:rPr>
          <w:rFonts w:ascii="Arial" w:cs="Arial" w:eastAsia="Arial" w:hAnsi="Arial"/>
          <w:sz w:val="22"/>
          <w:szCs w:val="22"/>
          <w:color w:val="auto"/>
        </w:rPr>
        <w:t xml:space="preserve"> of the Employment Agreement, that as a condition to receiving any Prorated Termination Bonus or Severance Payment, Executive must timely execute, and not revoke, this Release Agreement; and</w:t>
      </w:r>
    </w:p>
    <w:p>
      <w:pPr>
        <w:spacing w:after="0" w:line="186" w:lineRule="exact"/>
        <w:rPr>
          <w:sz w:val="20"/>
          <w:szCs w:val="20"/>
          <w:color w:val="auto"/>
        </w:rPr>
      </w:pPr>
    </w:p>
    <w:p>
      <w:pPr>
        <w:jc w:val="both"/>
        <w:ind w:right="120" w:firstLine="825"/>
        <w:spacing w:after="0" w:line="250" w:lineRule="auto"/>
        <w:rPr>
          <w:sz w:val="20"/>
          <w:szCs w:val="20"/>
          <w:color w:val="auto"/>
        </w:rPr>
      </w:pPr>
      <w:r>
        <w:rPr>
          <w:rFonts w:ascii="Arial" w:cs="Arial" w:eastAsia="Arial" w:hAnsi="Arial"/>
          <w:sz w:val="22"/>
          <w:szCs w:val="22"/>
          <w:color w:val="auto"/>
        </w:rPr>
        <w:t>WHEREAS, capitalized terms used herein and not otherwise defined shall have the meanings ascribed to them in the Employment Agreement.</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jc w:val="both"/>
        <w:ind w:right="120" w:firstLine="825"/>
        <w:spacing w:after="0" w:line="257" w:lineRule="auto"/>
        <w:rPr>
          <w:sz w:val="20"/>
          <w:szCs w:val="20"/>
          <w:color w:val="auto"/>
        </w:rPr>
      </w:pPr>
      <w:r>
        <w:rPr>
          <w:rFonts w:ascii="Arial" w:cs="Arial" w:eastAsia="Arial" w:hAnsi="Arial"/>
          <w:sz w:val="21"/>
          <w:szCs w:val="21"/>
          <w:color w:val="auto"/>
        </w:rPr>
        <w:t>NOW, THEREFORE, in consideration of the foregoing and the mutual covenants and agreements of the Parties set forth in this Release Agreement and the Employment Agreement, and for such other good and valuable consideration, the receipt and sufficiency of which are hereby acknowledged, the Parties hereto agree as follows:</w:t>
      </w:r>
    </w:p>
    <w:p>
      <w:pPr>
        <w:spacing w:after="0" w:line="163" w:lineRule="exact"/>
        <w:rPr>
          <w:sz w:val="20"/>
          <w:szCs w:val="20"/>
          <w:color w:val="auto"/>
        </w:rPr>
      </w:pPr>
    </w:p>
    <w:p>
      <w:pPr>
        <w:ind w:left="1680" w:hanging="834"/>
        <w:spacing w:after="0"/>
        <w:tabs>
          <w:tab w:leader="none" w:pos="168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22"/>
          <w:szCs w:val="22"/>
          <w:b w:val="1"/>
          <w:bCs w:val="1"/>
          <w:u w:val="single" w:color="auto"/>
          <w:color w:val="auto"/>
        </w:rPr>
        <w:t>elease of All Claims and Promise Not to Sue</w:t>
      </w:r>
      <w:r>
        <w:rPr>
          <w:rFonts w:ascii="Arial" w:cs="Arial" w:eastAsia="Arial" w:hAnsi="Arial"/>
          <w:sz w:val="22"/>
          <w:szCs w:val="22"/>
          <w:b w:val="1"/>
          <w:bCs w:val="1"/>
          <w:color w:val="auto"/>
        </w:rPr>
        <w:t xml:space="preserve">. </w:t>
      </w:r>
      <w:r>
        <w:rPr>
          <w:rFonts w:ascii="Arial" w:cs="Arial" w:eastAsia="Arial" w:hAnsi="Arial"/>
          <w:sz w:val="22"/>
          <w:szCs w:val="22"/>
          <w:color w:val="auto"/>
        </w:rPr>
        <w:t>In return for the Company’s</w:t>
      </w:r>
    </w:p>
    <w:p>
      <w:pPr>
        <w:spacing w:after="0" w:line="20" w:lineRule="exact"/>
        <w:rPr>
          <w:sz w:val="20"/>
          <w:szCs w:val="20"/>
          <w:color w:val="auto"/>
        </w:rPr>
      </w:pPr>
    </w:p>
    <w:p>
      <w:pPr>
        <w:jc w:val="both"/>
        <w:ind w:right="120"/>
        <w:spacing w:after="0" w:line="270" w:lineRule="auto"/>
        <w:rPr>
          <w:sz w:val="20"/>
          <w:szCs w:val="20"/>
          <w:color w:val="auto"/>
        </w:rPr>
      </w:pPr>
      <w:r>
        <w:rPr>
          <w:rFonts w:ascii="Arial" w:cs="Arial" w:eastAsia="Arial" w:hAnsi="Arial"/>
          <w:sz w:val="19"/>
          <w:szCs w:val="19"/>
          <w:color w:val="auto"/>
        </w:rPr>
        <w:t>promises in this Release Agreement and the Employment Agreement, including payment of the Prorated Termination Bonus and/or the Severance Payment, Executive voluntarily and knowingly hereby waives, releases, and discharges (A) the Company and any of its past or present parents, subsidiaries, owners, shareholders, members, or Affiliates (all collectively the “Company Parties”); (B) any past or present officer, director, manager or employee of the Company Parties, in their individual and official capacities; and (C) any predecessors, parent companies, subsidiaries, investors, owners, shareholders, stockholders, members, managers, operating units, Affiliates, divisions, agents, representatives, officers, directors, partners, members, employees, benefit plans, fiduciaries, insurers, attorneys, successors, and assigns of the entities and Persons named in (A)-(B) (all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all claims, liabilities, demands, and causes of action, known or unknown, fixed or contingent, which Executive may have or claim to have against any of them as a result of Executive’s employment with the Company and/or separation from employment with the Company and/or as a result of any other matter arising through the date of Executive’s signature on this Release Agreement. Executive agrees not to file a lawsuit against any Released Party to assert any such released claims, and Executive agrees not to accept any monetary damages or other personal relief (including legal or equitable relief) in connection with any administrative agency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339090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40" w:top="166" w:right="359" w:bottom="1440" w:gutter="0" w:footer="0" w:header="0"/>
        </w:sectPr>
      </w:pPr>
    </w:p>
    <w:bookmarkStart w:id="204" w:name="page205"/>
    <w:bookmarkEnd w:id="204"/>
    <w:p>
      <w:pPr>
        <w:jc w:val="both"/>
        <w:spacing w:after="0" w:line="238" w:lineRule="auto"/>
        <w:rPr>
          <w:sz w:val="20"/>
          <w:szCs w:val="20"/>
          <w:color w:val="auto"/>
        </w:rPr>
      </w:pPr>
      <w:r>
        <w:rPr>
          <w:rFonts w:ascii="Arial" w:cs="Arial" w:eastAsia="Arial" w:hAnsi="Arial"/>
          <w:sz w:val="22"/>
          <w:szCs w:val="22"/>
          <w:color w:val="auto"/>
        </w:rPr>
        <w:t>disclosure, claim or lawsuit filed by any Person or governmental agency with the exception of the same in connection with a report or disclosure to the Securities and Exchange Commission (“SEC”). Executive represents Executive has not already made, transferred or assigned any rights to the claims released in this Release Agreement. This waiver, release, and discharge includes, but is not limited to:</w:t>
      </w:r>
    </w:p>
    <w:p>
      <w:pPr>
        <w:spacing w:after="0" w:line="212" w:lineRule="exact"/>
        <w:rPr>
          <w:sz w:val="20"/>
          <w:szCs w:val="20"/>
          <w:color w:val="auto"/>
        </w:rPr>
      </w:pPr>
    </w:p>
    <w:p>
      <w:pPr>
        <w:ind w:left="1680" w:right="60" w:hanging="834"/>
        <w:spacing w:after="0" w:line="275" w:lineRule="auto"/>
        <w:tabs>
          <w:tab w:leader="none" w:pos="168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claims arising under federal, state, or local laws regarding employment or prohibiting employment discrimination such as, without limitation, Title VII of the Civil Rights Act of 1964, the Equal Pay Act, the Age Discrimination in Employment Act, the Older Workers’ Benefit Protection Act, the Genetic Information Nondiscrimination Act, the Occupational Safety and Health Act, the National Labor Relations Act, the Civil Rights Act of 1866 (42 U.S.C. § 1981), the Americans with Disabilities Act, the Fair Labor Standards Act, the Family and Medical Leave Act (FMLA), the Texas Commission on Human Rights Act; and Chapters 21, 61 and 451 of the Texas Labor Code, Comprehensive Omnibus Budget Reconciliation Act of 1985 (COBRA), the Worker Adjustment and Retraining Notification (WARN) Act;</w:t>
      </w:r>
    </w:p>
    <w:p>
      <w:pPr>
        <w:spacing w:after="0" w:line="211" w:lineRule="exact"/>
        <w:rPr>
          <w:rFonts w:ascii="Arial" w:cs="Arial" w:eastAsia="Arial" w:hAnsi="Arial"/>
          <w:sz w:val="19"/>
          <w:szCs w:val="19"/>
          <w:color w:val="auto"/>
        </w:rPr>
      </w:pPr>
    </w:p>
    <w:p>
      <w:pPr>
        <w:ind w:left="1680" w:hanging="834"/>
        <w:spacing w:after="0" w:line="236" w:lineRule="auto"/>
        <w:tabs>
          <w:tab w:leader="none" w:pos="16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claims based on any express or implied contract, including, without limitation, under the Employment Agreement, or other agreement or representation relating to the terms and conditions of Executive’s employment, which may have been alleged to exist between Executive and the Company or any other Released Party, and claims that the Company violated its personnel policies, handbooks, or any covenant of good faith and fair dealing;</w:t>
      </w:r>
    </w:p>
    <w:p>
      <w:pPr>
        <w:spacing w:after="0" w:line="214" w:lineRule="exact"/>
        <w:rPr>
          <w:rFonts w:ascii="Arial" w:cs="Arial" w:eastAsia="Arial" w:hAnsi="Arial"/>
          <w:sz w:val="22"/>
          <w:szCs w:val="22"/>
          <w:color w:val="auto"/>
        </w:rPr>
      </w:pPr>
    </w:p>
    <w:p>
      <w:pPr>
        <w:ind w:left="1680" w:hanging="834"/>
        <w:spacing w:after="0" w:line="238" w:lineRule="auto"/>
        <w:tabs>
          <w:tab w:leader="none" w:pos="16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claims for personal injury, harm, or other damages (whether intentional or unintentional and whether occurring on the job or not, including, without limitation, negligence, defamation, misrepresentation, fraud, intentional infliction of emotional distress, assault, battery, invasion of privacy, and other such tort or injury claims);</w:t>
      </w:r>
    </w:p>
    <w:p>
      <w:pPr>
        <w:spacing w:after="0" w:line="211" w:lineRule="exact"/>
        <w:rPr>
          <w:rFonts w:ascii="Arial" w:cs="Arial" w:eastAsia="Arial" w:hAnsi="Arial"/>
          <w:sz w:val="22"/>
          <w:szCs w:val="22"/>
          <w:color w:val="auto"/>
        </w:rPr>
      </w:pPr>
    </w:p>
    <w:p>
      <w:pPr>
        <w:jc w:val="both"/>
        <w:ind w:left="1680" w:right="40" w:hanging="834"/>
        <w:spacing w:after="0"/>
        <w:tabs>
          <w:tab w:leader="none" w:pos="16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claims growing out of any legal restrictions on the Released Parties’ right to terminate employment of their respective employees including any claims based on any violation of public policy or retaliation for taking a protected action;</w:t>
      </w:r>
    </w:p>
    <w:p>
      <w:pPr>
        <w:spacing w:after="0" w:line="213" w:lineRule="exact"/>
        <w:rPr>
          <w:rFonts w:ascii="Arial" w:cs="Arial" w:eastAsia="Arial" w:hAnsi="Arial"/>
          <w:sz w:val="22"/>
          <w:szCs w:val="22"/>
          <w:color w:val="auto"/>
        </w:rPr>
      </w:pPr>
    </w:p>
    <w:p>
      <w:pPr>
        <w:ind w:left="1680" w:right="200" w:hanging="834"/>
        <w:spacing w:after="0"/>
        <w:tabs>
          <w:tab w:leader="none" w:pos="16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claims regarding any restrictions on the Released Parties’ right to enforce any of Executive’s post-termination obligations regarding non-disclosure, non- disparagement, non-competition, non-solicitation, and non-interference; and</w:t>
      </w:r>
    </w:p>
    <w:p>
      <w:pPr>
        <w:spacing w:after="0" w:line="213" w:lineRule="exact"/>
        <w:rPr>
          <w:rFonts w:ascii="Arial" w:cs="Arial" w:eastAsia="Arial" w:hAnsi="Arial"/>
          <w:sz w:val="22"/>
          <w:szCs w:val="22"/>
          <w:color w:val="auto"/>
        </w:rPr>
      </w:pPr>
    </w:p>
    <w:p>
      <w:pPr>
        <w:ind w:left="1680" w:right="200" w:hanging="834"/>
        <w:spacing w:after="0"/>
        <w:tabs>
          <w:tab w:leader="none" w:pos="16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claims for equity or other ownership or profits interests, wages, back pay, overtime pay, severance pay, future pay, bonuses, commissions, and any other compensation, including, without limitation, pursuant to the Employment Agreement or the Award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363220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40" w:top="172" w:right="479" w:bottom="1440" w:gutter="0" w:footer="0" w:header="0"/>
        </w:sectPr>
      </w:pPr>
    </w:p>
    <w:bookmarkStart w:id="205" w:name="page206"/>
    <w:bookmarkEnd w:id="205"/>
    <w:p>
      <w:pPr>
        <w:spacing w:after="0" w:line="250" w:lineRule="auto"/>
        <w:rPr>
          <w:sz w:val="20"/>
          <w:szCs w:val="20"/>
          <w:color w:val="auto"/>
        </w:rPr>
      </w:pPr>
      <w:r>
        <w:rPr>
          <w:rFonts w:ascii="Arial" w:cs="Arial" w:eastAsia="Arial" w:hAnsi="Arial"/>
          <w:sz w:val="22"/>
          <w:szCs w:val="22"/>
          <w:color w:val="auto"/>
        </w:rPr>
        <w:t>NOTHING IN THIS RELEASE AGREEMENT SHALL WAIVE OR MODIFY THE FOLLOWING RIGHTS IF EXECUTIVE OTHERWISE HAS SUCH RIGHTS:</w:t>
      </w:r>
    </w:p>
    <w:p>
      <w:pPr>
        <w:spacing w:after="0" w:line="175" w:lineRule="exact"/>
        <w:rPr>
          <w:sz w:val="20"/>
          <w:szCs w:val="20"/>
          <w:color w:val="auto"/>
        </w:rPr>
      </w:pPr>
    </w:p>
    <w:p>
      <w:pPr>
        <w:ind w:left="1680" w:hanging="834"/>
        <w:spacing w:after="0"/>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 or claim provided under this Release Agreement;</w:t>
      </w:r>
    </w:p>
    <w:p>
      <w:pPr>
        <w:spacing w:after="0" w:line="233" w:lineRule="exact"/>
        <w:rPr>
          <w:rFonts w:ascii="Arial" w:cs="Arial" w:eastAsia="Arial" w:hAnsi="Arial"/>
          <w:sz w:val="22"/>
          <w:szCs w:val="22"/>
          <w:color w:val="auto"/>
        </w:rPr>
      </w:pPr>
    </w:p>
    <w:p>
      <w:pPr>
        <w:ind w:left="1680" w:right="300" w:hanging="834"/>
        <w:spacing w:after="0" w:line="250" w:lineRule="auto"/>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benefit claims under employee pension or welfare benefit plans in which the Executive is a participant by virtue of his employment with any of the Company Parties;</w:t>
      </w:r>
    </w:p>
    <w:p>
      <w:pPr>
        <w:spacing w:after="0" w:line="201" w:lineRule="exact"/>
        <w:rPr>
          <w:rFonts w:ascii="Arial" w:cs="Arial" w:eastAsia="Arial" w:hAnsi="Arial"/>
          <w:sz w:val="22"/>
          <w:szCs w:val="22"/>
          <w:color w:val="auto"/>
        </w:rPr>
      </w:pPr>
    </w:p>
    <w:p>
      <w:pPr>
        <w:ind w:left="1680" w:right="220" w:hanging="834"/>
        <w:spacing w:after="0" w:line="238" w:lineRule="auto"/>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rights of indemnification the Executive may have under any written agreement between the Executive and the Company (or its Affiliates), the Company’s Certificate of Incorporation, the Partnership’s LP Agreement, the General Corporation Law of the State of Delaware, any applicable statute or common law, or pursuant to any applicable insurance policy,</w:t>
      </w:r>
    </w:p>
    <w:p>
      <w:pPr>
        <w:spacing w:after="0" w:line="211" w:lineRule="exact"/>
        <w:rPr>
          <w:rFonts w:ascii="Arial" w:cs="Arial" w:eastAsia="Arial" w:hAnsi="Arial"/>
          <w:sz w:val="22"/>
          <w:szCs w:val="22"/>
          <w:color w:val="auto"/>
        </w:rPr>
      </w:pPr>
    </w:p>
    <w:p>
      <w:pPr>
        <w:ind w:left="1680" w:hanging="834"/>
        <w:spacing w:after="0"/>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contractual rights to vested equity awards;</w:t>
      </w:r>
    </w:p>
    <w:p>
      <w:pPr>
        <w:spacing w:after="0" w:line="233" w:lineRule="exact"/>
        <w:rPr>
          <w:rFonts w:ascii="Arial" w:cs="Arial" w:eastAsia="Arial" w:hAnsi="Arial"/>
          <w:sz w:val="22"/>
          <w:szCs w:val="22"/>
          <w:color w:val="auto"/>
        </w:rPr>
      </w:pPr>
    </w:p>
    <w:p>
      <w:pPr>
        <w:ind w:left="1680" w:hanging="834"/>
        <w:spacing w:after="0"/>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 to COBRA continuation coverage;</w:t>
      </w:r>
    </w:p>
    <w:p>
      <w:pPr>
        <w:spacing w:after="0" w:line="233" w:lineRule="exact"/>
        <w:rPr>
          <w:rFonts w:ascii="Arial" w:cs="Arial" w:eastAsia="Arial" w:hAnsi="Arial"/>
          <w:sz w:val="22"/>
          <w:szCs w:val="22"/>
          <w:color w:val="auto"/>
        </w:rPr>
      </w:pPr>
    </w:p>
    <w:p>
      <w:pPr>
        <w:ind w:left="1680" w:right="140" w:hanging="834"/>
        <w:spacing w:after="0" w:line="250" w:lineRule="auto"/>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 to seek unemployment compensation benefits if Executive is otherwise qualified under applicable law;</w:t>
      </w:r>
    </w:p>
    <w:p>
      <w:pPr>
        <w:spacing w:after="0" w:line="201" w:lineRule="exact"/>
        <w:rPr>
          <w:rFonts w:ascii="Arial" w:cs="Arial" w:eastAsia="Arial" w:hAnsi="Arial"/>
          <w:sz w:val="22"/>
          <w:szCs w:val="22"/>
          <w:color w:val="auto"/>
        </w:rPr>
      </w:pPr>
    </w:p>
    <w:p>
      <w:pPr>
        <w:ind w:left="1680" w:right="180" w:hanging="834"/>
        <w:spacing w:after="0" w:line="250" w:lineRule="auto"/>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rights regarding a pending workers’ compensation claim, however, Executive states that Executive has no unfiled workers’ compensation claim or unreported injury;</w:t>
      </w:r>
    </w:p>
    <w:p>
      <w:pPr>
        <w:spacing w:after="0" w:line="201" w:lineRule="exact"/>
        <w:rPr>
          <w:rFonts w:ascii="Arial" w:cs="Arial" w:eastAsia="Arial" w:hAnsi="Arial"/>
          <w:sz w:val="22"/>
          <w:szCs w:val="22"/>
          <w:color w:val="auto"/>
        </w:rPr>
      </w:pPr>
    </w:p>
    <w:p>
      <w:pPr>
        <w:ind w:left="1680" w:hanging="834"/>
        <w:spacing w:after="0"/>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rights that may not be waived as a matter of law; or</w:t>
      </w:r>
    </w:p>
    <w:p>
      <w:pPr>
        <w:spacing w:after="0" w:line="233" w:lineRule="exact"/>
        <w:rPr>
          <w:rFonts w:ascii="Arial" w:cs="Arial" w:eastAsia="Arial" w:hAnsi="Arial"/>
          <w:sz w:val="22"/>
          <w:szCs w:val="22"/>
          <w:color w:val="auto"/>
        </w:rPr>
      </w:pPr>
    </w:p>
    <w:p>
      <w:pPr>
        <w:ind w:left="1680" w:hanging="834"/>
        <w:spacing w:after="0"/>
        <w:tabs>
          <w:tab w:leader="none" w:pos="16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any claim based on facts occurring after this Release Agreement is signed.</w:t>
      </w:r>
    </w:p>
    <w:p>
      <w:pPr>
        <w:spacing w:after="0" w:line="200" w:lineRule="exact"/>
        <w:rPr>
          <w:sz w:val="20"/>
          <w:szCs w:val="20"/>
          <w:color w:val="auto"/>
        </w:rPr>
      </w:pPr>
    </w:p>
    <w:p>
      <w:pPr>
        <w:ind w:right="2800" w:firstLine="846"/>
        <w:spacing w:after="0" w:line="256" w:lineRule="auto"/>
        <w:tabs>
          <w:tab w:leader="none" w:pos="1679"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xecutive’s Release of Age Discrimination Claims.</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the following:</w:t>
      </w:r>
    </w:p>
    <w:p>
      <w:pPr>
        <w:spacing w:after="0" w:line="195" w:lineRule="exact"/>
        <w:rPr>
          <w:sz w:val="20"/>
          <w:szCs w:val="20"/>
          <w:color w:val="auto"/>
        </w:rPr>
      </w:pPr>
    </w:p>
    <w:p>
      <w:pPr>
        <w:ind w:left="1680" w:right="1000" w:hanging="834"/>
        <w:spacing w:after="0" w:line="328" w:lineRule="auto"/>
        <w:tabs>
          <w:tab w:leader="none" w:pos="168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This Release Agreement is written in a manner calculated to be understood by Executive and that Executive in fact understands the terms, conditions and effect of this Release Agreement.</w:t>
      </w:r>
    </w:p>
    <w:p>
      <w:pPr>
        <w:spacing w:after="0" w:line="131" w:lineRule="exact"/>
        <w:rPr>
          <w:rFonts w:ascii="Arial" w:cs="Arial" w:eastAsia="Arial" w:hAnsi="Arial"/>
          <w:sz w:val="19"/>
          <w:szCs w:val="19"/>
          <w:color w:val="auto"/>
        </w:rPr>
      </w:pPr>
    </w:p>
    <w:p>
      <w:pPr>
        <w:ind w:left="1680" w:right="460" w:hanging="834"/>
        <w:spacing w:after="0" w:line="250" w:lineRule="auto"/>
        <w:tabs>
          <w:tab w:leader="none" w:pos="16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This Release Agreement refers to rights or claims arising under the Age Discrimination in Employment Act and Older Workers’ Benefit Protection Act.</w:t>
      </w:r>
    </w:p>
    <w:p>
      <w:pPr>
        <w:spacing w:after="0" w:line="201" w:lineRule="exact"/>
        <w:rPr>
          <w:rFonts w:ascii="Arial" w:cs="Arial" w:eastAsia="Arial" w:hAnsi="Arial"/>
          <w:sz w:val="22"/>
          <w:szCs w:val="22"/>
          <w:color w:val="auto"/>
        </w:rPr>
      </w:pPr>
    </w:p>
    <w:p>
      <w:pPr>
        <w:ind w:left="1680" w:hanging="834"/>
        <w:spacing w:after="0"/>
        <w:tabs>
          <w:tab w:leader="none" w:pos="168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Executive does not waive rights or claims that may arise after the date this Release Agreement is executed.</w:t>
      </w:r>
    </w:p>
    <w:p>
      <w:pPr>
        <w:spacing w:after="0" w:line="267" w:lineRule="exact"/>
        <w:rPr>
          <w:rFonts w:ascii="Arial" w:cs="Arial" w:eastAsia="Arial" w:hAnsi="Arial"/>
          <w:sz w:val="19"/>
          <w:szCs w:val="19"/>
          <w:color w:val="auto"/>
        </w:rPr>
      </w:pPr>
    </w:p>
    <w:p>
      <w:pPr>
        <w:ind w:left="1680" w:right="460" w:hanging="834"/>
        <w:spacing w:after="0" w:line="250" w:lineRule="auto"/>
        <w:tabs>
          <w:tab w:leader="none" w:pos="168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Executive waives rights or claims only in exchange for consideration in addition to anything of value to which Executive is already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356235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40" w:top="172" w:right="359" w:bottom="1440" w:gutter="0" w:footer="0" w:header="0"/>
        </w:sectPr>
      </w:pPr>
    </w:p>
    <w:bookmarkStart w:id="206" w:name="page207"/>
    <w:bookmarkEnd w:id="206"/>
    <w:p>
      <w:pPr>
        <w:ind w:left="1680" w:hanging="834"/>
        <w:spacing w:after="0"/>
        <w:tabs>
          <w:tab w:leader="none" w:pos="168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Executive is advised in writing to consult with an attorney prior to executing the Release Agreement.</w:t>
      </w:r>
    </w:p>
    <w:p>
      <w:pPr>
        <w:spacing w:after="0" w:line="239" w:lineRule="exact"/>
        <w:rPr>
          <w:rFonts w:ascii="Arial" w:cs="Arial" w:eastAsia="Arial" w:hAnsi="Arial"/>
          <w:sz w:val="21"/>
          <w:szCs w:val="21"/>
          <w:color w:val="auto"/>
        </w:rPr>
      </w:pPr>
    </w:p>
    <w:p>
      <w:pPr>
        <w:jc w:val="both"/>
        <w:ind w:left="1680" w:right="280" w:hanging="834"/>
        <w:spacing w:after="0" w:line="239" w:lineRule="auto"/>
        <w:tabs>
          <w:tab w:leader="none" w:pos="16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Executive has </w:t>
      </w:r>
      <w:r>
        <w:rPr>
          <w:rFonts w:ascii="Arial" w:cs="Arial" w:eastAsia="Arial" w:hAnsi="Arial"/>
          <w:sz w:val="22"/>
          <w:szCs w:val="22"/>
          <w:b w:val="1"/>
          <w:bCs w:val="1"/>
          <w:color w:val="auto"/>
        </w:rPr>
        <w:t>[21/45]</w:t>
      </w:r>
      <w:r>
        <w:rPr>
          <w:rFonts w:ascii="Arial" w:cs="Arial" w:eastAsia="Arial" w:hAnsi="Arial"/>
          <w:sz w:val="22"/>
          <w:szCs w:val="22"/>
          <w:color w:val="auto"/>
        </w:rPr>
        <w:t xml:space="preserve"> days in which to consider this Release Agreement before accepting, but need not take that long if Executive does not wish to, and any decision to sign this Release Agreement before the </w:t>
      </w:r>
      <w:r>
        <w:rPr>
          <w:rFonts w:ascii="Arial" w:cs="Arial" w:eastAsia="Arial" w:hAnsi="Arial"/>
          <w:sz w:val="22"/>
          <w:szCs w:val="22"/>
          <w:b w:val="1"/>
          <w:bCs w:val="1"/>
          <w:color w:val="auto"/>
        </w:rPr>
        <w:t xml:space="preserve">[21/45] </w:t>
      </w:r>
      <w:r>
        <w:rPr>
          <w:rFonts w:ascii="Arial" w:cs="Arial" w:eastAsia="Arial" w:hAnsi="Arial"/>
          <w:sz w:val="22"/>
          <w:szCs w:val="22"/>
          <w:color w:val="auto"/>
        </w:rPr>
        <w:t>days have expired was done so voluntarily and not because of any fraud or coercion or improper</w:t>
      </w:r>
      <w:r>
        <w:rPr>
          <w:rFonts w:ascii="Arial" w:cs="Arial" w:eastAsia="Arial" w:hAnsi="Arial"/>
          <w:sz w:val="22"/>
          <w:szCs w:val="22"/>
          <w:b w:val="1"/>
          <w:bCs w:val="1"/>
          <w:color w:val="auto"/>
        </w:rPr>
        <w:t xml:space="preserve"> </w:t>
      </w:r>
      <w:r>
        <w:rPr>
          <w:rFonts w:ascii="Arial" w:cs="Arial" w:eastAsia="Arial" w:hAnsi="Arial"/>
          <w:sz w:val="22"/>
          <w:szCs w:val="22"/>
          <w:color w:val="auto"/>
        </w:rPr>
        <w:t>conduct by any of the Released Parties.</w:t>
      </w:r>
    </w:p>
    <w:p>
      <w:pPr>
        <w:spacing w:after="0" w:line="213" w:lineRule="exact"/>
        <w:rPr>
          <w:rFonts w:ascii="Arial" w:cs="Arial" w:eastAsia="Arial" w:hAnsi="Arial"/>
          <w:sz w:val="22"/>
          <w:szCs w:val="22"/>
          <w:color w:val="auto"/>
        </w:rPr>
      </w:pPr>
    </w:p>
    <w:p>
      <w:pPr>
        <w:ind w:left="1680" w:right="340" w:hanging="834"/>
        <w:spacing w:after="0" w:line="287" w:lineRule="auto"/>
        <w:tabs>
          <w:tab w:leader="none" w:pos="168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This Release Agreement allows a period of seven (7) days following Executive’s signature on the agreement during which Executive may revoke this Release Agreement. This Release Agreement is not effective until after the revocation period has been exhausted without any revocation by Executive. No payments shall be made until after the Release Agreement becomes effective.</w:t>
      </w:r>
    </w:p>
    <w:p>
      <w:pPr>
        <w:spacing w:after="0" w:line="169" w:lineRule="exact"/>
        <w:rPr>
          <w:rFonts w:ascii="Arial" w:cs="Arial" w:eastAsia="Arial" w:hAnsi="Arial"/>
          <w:sz w:val="19"/>
          <w:szCs w:val="19"/>
          <w:color w:val="auto"/>
        </w:rPr>
      </w:pPr>
    </w:p>
    <w:p>
      <w:pPr>
        <w:ind w:left="1680" w:right="60" w:hanging="834"/>
        <w:spacing w:after="0" w:line="250" w:lineRule="auto"/>
        <w:tabs>
          <w:tab w:leader="none" w:pos="16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Executive fully understands all of the terms of this waiver agreement and knowingly and voluntarily enters into this Release Agreement.</w:t>
      </w:r>
    </w:p>
    <w:p>
      <w:pPr>
        <w:spacing w:after="0" w:line="201" w:lineRule="exact"/>
        <w:rPr>
          <w:rFonts w:ascii="Arial" w:cs="Arial" w:eastAsia="Arial" w:hAnsi="Arial"/>
          <w:sz w:val="22"/>
          <w:szCs w:val="22"/>
          <w:color w:val="auto"/>
        </w:rPr>
      </w:pPr>
    </w:p>
    <w:p>
      <w:pPr>
        <w:ind w:left="1680" w:right="260" w:hanging="834"/>
        <w:spacing w:after="0"/>
        <w:tabs>
          <w:tab w:leader="none" w:pos="16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Executive has been given this Release Agreement to consider on [●] (the “Consideration Date”). Any notice of acceptance or revocation should be made by Executive to the Company as specified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of the Employment Agreement.</w:t>
      </w:r>
    </w:p>
    <w:p>
      <w:pPr>
        <w:spacing w:after="0" w:line="213" w:lineRule="exact"/>
        <w:rPr>
          <w:rFonts w:ascii="Arial" w:cs="Arial" w:eastAsia="Arial" w:hAnsi="Arial"/>
          <w:sz w:val="22"/>
          <w:szCs w:val="22"/>
          <w:color w:val="auto"/>
        </w:rPr>
      </w:pPr>
    </w:p>
    <w:p>
      <w:pPr>
        <w:ind w:left="1680" w:right="140" w:hanging="834"/>
        <w:spacing w:after="0"/>
        <w:tabs>
          <w:tab w:leader="none" w:pos="16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Any changes made to the version of this Release Agreement provided to Executive on the Consideration Date are not material or were made at the Executive’s request and will not restart the required [</w:t>
      </w:r>
      <w:r>
        <w:rPr>
          <w:rFonts w:ascii="Arial" w:cs="Arial" w:eastAsia="Arial" w:hAnsi="Arial"/>
          <w:sz w:val="22"/>
          <w:szCs w:val="22"/>
          <w:b w:val="1"/>
          <w:bCs w:val="1"/>
          <w:color w:val="auto"/>
        </w:rPr>
        <w:t>21/45]</w:t>
      </w:r>
      <w:r>
        <w:rPr>
          <w:rFonts w:ascii="Arial" w:cs="Arial" w:eastAsia="Arial" w:hAnsi="Arial"/>
          <w:sz w:val="22"/>
          <w:szCs w:val="22"/>
          <w:color w:val="auto"/>
        </w:rPr>
        <w:t>-day consideration period.</w:t>
      </w:r>
    </w:p>
    <w:p>
      <w:pPr>
        <w:spacing w:after="0" w:line="180" w:lineRule="exact"/>
        <w:rPr>
          <w:sz w:val="20"/>
          <w:szCs w:val="20"/>
          <w:color w:val="auto"/>
        </w:rPr>
      </w:pPr>
    </w:p>
    <w:p>
      <w:pPr>
        <w:ind w:left="1680" w:hanging="834"/>
        <w:spacing w:after="0"/>
        <w:tabs>
          <w:tab w:leader="none" w:pos="168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xecutive’s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is, and will continue to be, in full</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compliance with any non-disclosure, non-disparagement, non-competition, and non-solicitation obligations owed to the Company Parties under any agreement or applicable law. Executive further represents and warrants that Executive has returned all information and property as required by S</w:t>
      </w:r>
      <w:r>
        <w:rPr>
          <w:rFonts w:ascii="Arial" w:cs="Arial" w:eastAsia="Arial" w:hAnsi="Arial"/>
          <w:sz w:val="22"/>
          <w:szCs w:val="22"/>
          <w:u w:val="single" w:color="auto"/>
          <w:color w:val="auto"/>
        </w:rPr>
        <w:t>ection 7(d)</w:t>
      </w:r>
      <w:r>
        <w:rPr>
          <w:rFonts w:ascii="Arial" w:cs="Arial" w:eastAsia="Arial" w:hAnsi="Arial"/>
          <w:sz w:val="22"/>
          <w:szCs w:val="22"/>
          <w:color w:val="auto"/>
        </w:rPr>
        <w:t xml:space="preserve"> of the Employment Agreement.</w:t>
      </w:r>
    </w:p>
    <w:p>
      <w:pPr>
        <w:spacing w:after="0" w:line="20" w:lineRule="exact"/>
        <w:rPr>
          <w:sz w:val="20"/>
          <w:szCs w:val="20"/>
          <w:color w:val="auto"/>
        </w:rPr>
      </w:pPr>
    </w:p>
    <w:p>
      <w:pPr>
        <w:spacing w:after="0" w:line="161" w:lineRule="exact"/>
        <w:rPr>
          <w:sz w:val="20"/>
          <w:szCs w:val="20"/>
          <w:color w:val="auto"/>
        </w:rPr>
      </w:pPr>
    </w:p>
    <w:p>
      <w:pPr>
        <w:ind w:left="1680" w:hanging="834"/>
        <w:spacing w:after="0"/>
        <w:tabs>
          <w:tab w:leader="none" w:pos="168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22"/>
          <w:szCs w:val="22"/>
          <w:b w:val="1"/>
          <w:bCs w:val="1"/>
          <w:u w:val="single" w:color="auto"/>
          <w:color w:val="auto"/>
        </w:rPr>
        <w:t>eporting to Government Agencies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Release Agreement or in</w:t>
      </w:r>
    </w:p>
    <w:p>
      <w:pPr>
        <w:spacing w:after="0" w:line="2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other agreement referenced in this Release Agreement shall prevent Executive from filing a charge or complaint or making a disclosure or report of possible unlawful activity, including a challenge to the validity of this Release Agreement, with any governmental agency, including but not limited to the Equal Employment Opportunity Commission (“</w:t>
      </w:r>
      <w:r>
        <w:rPr>
          <w:rFonts w:ascii="Arial" w:cs="Arial" w:eastAsia="Arial" w:hAnsi="Arial"/>
          <w:sz w:val="21"/>
          <w:szCs w:val="21"/>
          <w:u w:val="single" w:color="auto"/>
          <w:color w:val="auto"/>
        </w:rPr>
        <w:t>EEOC</w:t>
      </w:r>
      <w:r>
        <w:rPr>
          <w:rFonts w:ascii="Arial" w:cs="Arial" w:eastAsia="Arial" w:hAnsi="Arial"/>
          <w:sz w:val="21"/>
          <w:szCs w:val="21"/>
          <w:color w:val="auto"/>
        </w:rPr>
        <w:t>”), the National Labor Relations Board (“</w:t>
      </w:r>
      <w:r>
        <w:rPr>
          <w:rFonts w:ascii="Arial" w:cs="Arial" w:eastAsia="Arial" w:hAnsi="Arial"/>
          <w:sz w:val="21"/>
          <w:szCs w:val="21"/>
          <w:u w:val="single" w:color="auto"/>
          <w:color w:val="auto"/>
        </w:rPr>
        <w:t>NLRB</w:t>
      </w:r>
      <w:r>
        <w:rPr>
          <w:rFonts w:ascii="Arial" w:cs="Arial" w:eastAsia="Arial" w:hAnsi="Arial"/>
          <w:sz w:val="21"/>
          <w:szCs w:val="21"/>
          <w:color w:val="auto"/>
        </w:rPr>
        <w:t>”), or the SEC, or from participating in any investigation or proceeding conducted by the EEOC, NLRB, SEC, or any federal, state or local agency. This Release Agreement does not impose any condition precedent (such as prior disclosure to any Released Party), any penalty, or any other restriction or limitation adversely affecting Executive’s rights regarding any governmental agency disclosure, report, claim or investigation. Executive understands and recognizes, however, that even if a report or disclosure is made or a charge is filed by Executive or on Executive’s behalf with a governmental agency other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353695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40" w:top="118" w:right="479" w:bottom="1440" w:gutter="0" w:footer="0" w:header="0"/>
        </w:sectPr>
      </w:pPr>
    </w:p>
    <w:bookmarkStart w:id="207" w:name="page208"/>
    <w:bookmarkEnd w:id="207"/>
    <w:p>
      <w:pPr>
        <w:spacing w:after="0" w:line="250" w:lineRule="auto"/>
        <w:rPr>
          <w:sz w:val="20"/>
          <w:szCs w:val="20"/>
          <w:color w:val="auto"/>
        </w:rPr>
      </w:pPr>
      <w:r>
        <w:rPr>
          <w:rFonts w:ascii="Arial" w:cs="Arial" w:eastAsia="Arial" w:hAnsi="Arial"/>
          <w:sz w:val="22"/>
          <w:szCs w:val="22"/>
          <w:color w:val="auto"/>
        </w:rPr>
        <w:t>SEC, Executive will not be entitled to any damages or payment of any money or other relief personal to Executive relating to any event which occurred prior to Executive’s execution of this Release Agreement.</w:t>
      </w:r>
    </w:p>
    <w:p>
      <w:pPr>
        <w:spacing w:after="0" w:line="169" w:lineRule="exact"/>
        <w:rPr>
          <w:sz w:val="20"/>
          <w:szCs w:val="20"/>
          <w:color w:val="auto"/>
        </w:rPr>
      </w:pPr>
    </w:p>
    <w:p>
      <w:pPr>
        <w:ind w:left="1680" w:hanging="834"/>
        <w:spacing w:after="0"/>
        <w:tabs>
          <w:tab w:leader="none" w:pos="168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22"/>
          <w:szCs w:val="22"/>
          <w:b w:val="1"/>
          <w:bCs w:val="1"/>
          <w:u w:val="single" w:color="auto"/>
          <w:color w:val="auto"/>
        </w:rPr>
        <w:t>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has carefully read and fully understands all of the</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terms of this Release Agreement. Executive agrees that this Release Agreement, together with the Employment Agreement, constitutes the complete agreement of the Parties in respect of the subject matter hereof and shall supersede all prior agreements between the Parties in respect of the subject matter hereof except to the extent set forth herein. For the avoidance of doubt, however, nothing in this Release Agreement shall constitute a waiver of any of the Company Parties’ rights to enforce any obligations of the Executive under the Employment Agreement that survive the Employment Agreement’s termination, including without limitation, any obligations concerning arbitration, confidentiality, non-competition, non-solicitation, and post-employment cooperation.</w:t>
      </w:r>
    </w:p>
    <w:p>
      <w:pPr>
        <w:spacing w:after="0" w:line="181" w:lineRule="exact"/>
        <w:rPr>
          <w:sz w:val="20"/>
          <w:szCs w:val="20"/>
          <w:color w:val="auto"/>
        </w:rPr>
      </w:pPr>
    </w:p>
    <w:p>
      <w:pPr>
        <w:ind w:left="1680" w:hanging="834"/>
        <w:spacing w:after="0"/>
        <w:tabs>
          <w:tab w:leader="none" w:pos="168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22"/>
          <w:szCs w:val="22"/>
          <w:b w:val="1"/>
          <w:bCs w:val="1"/>
          <w:u w:val="single" w:color="auto"/>
          <w:color w:val="auto"/>
        </w:rPr>
        <w:t>o Admission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this Release Agreement is not and shall</w:t>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not be deemed or construed to be an admission by any of the Released Parties of any wrongdoing of any kind or of any breach of any contract, law, obligation, policy, or procedure of any kind or nature.</w:t>
      </w:r>
    </w:p>
    <w:p>
      <w:pPr>
        <w:spacing w:after="0" w:line="181" w:lineRule="exact"/>
        <w:rPr>
          <w:sz w:val="20"/>
          <w:szCs w:val="20"/>
          <w:color w:val="auto"/>
        </w:rPr>
      </w:pPr>
    </w:p>
    <w:p>
      <w:pPr>
        <w:ind w:left="1680" w:hanging="834"/>
        <w:spacing w:after="0"/>
        <w:tabs>
          <w:tab w:leader="none" w:pos="1680" w:val="left"/>
        </w:tabs>
        <w:numPr>
          <w:ilvl w:val="0"/>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22"/>
          <w:szCs w:val="22"/>
          <w:b w:val="1"/>
          <w:bCs w:val="1"/>
          <w:u w:val="single" w:color="auto"/>
          <w:color w:val="auto"/>
        </w:rPr>
        <w:t>njunctive Relief</w:t>
      </w:r>
      <w:r>
        <w:rPr>
          <w:rFonts w:ascii="Arial" w:cs="Arial" w:eastAsia="Arial" w:hAnsi="Arial"/>
          <w:sz w:val="22"/>
          <w:szCs w:val="22"/>
          <w:b w:val="1"/>
          <w:bCs w:val="1"/>
          <w:color w:val="auto"/>
        </w:rPr>
        <w:t>.</w:t>
      </w:r>
      <w:r>
        <w:rPr>
          <w:rFonts w:ascii="Arial" w:cs="Arial" w:eastAsia="Arial" w:hAnsi="Arial"/>
          <w:sz w:val="22"/>
          <w:szCs w:val="22"/>
          <w:color w:val="auto"/>
        </w:rPr>
        <w:t>Executive acknowledges that damages may be difficult to</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calculate and/or wholly inadequate for certain breaches of this Release Agreement. The Released Parties may seek immediate injunctive or other equitable relief to enforce the terms of this Release Agreement, in addition to any legal or other relief to which the Released Parties may be entitled, including damages and attorneys’ fees.</w:t>
      </w:r>
    </w:p>
    <w:p>
      <w:pPr>
        <w:spacing w:after="0" w:line="181" w:lineRule="exact"/>
        <w:rPr>
          <w:sz w:val="20"/>
          <w:szCs w:val="20"/>
          <w:color w:val="auto"/>
        </w:rPr>
      </w:pPr>
    </w:p>
    <w:p>
      <w:pPr>
        <w:ind w:left="1680" w:hanging="834"/>
        <w:spacing w:after="0"/>
        <w:tabs>
          <w:tab w:leader="none" w:pos="168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22"/>
          <w:szCs w:val="22"/>
          <w:b w:val="1"/>
          <w:bCs w:val="1"/>
          <w:u w:val="single" w:color="auto"/>
          <w:color w:val="auto"/>
        </w:rPr>
        <w:t>epresentations; Modifications; Severability</w:t>
      </w:r>
      <w:r>
        <w:rPr>
          <w:rFonts w:ascii="Arial" w:cs="Arial" w:eastAsia="Arial" w:hAnsi="Arial"/>
          <w:sz w:val="22"/>
          <w:szCs w:val="22"/>
          <w:b w:val="1"/>
          <w:bCs w:val="1"/>
          <w:color w:val="auto"/>
        </w:rPr>
        <w:t>.</w:t>
      </w:r>
      <w:r>
        <w:rPr>
          <w:rFonts w:ascii="Arial" w:cs="Arial" w:eastAsia="Arial" w:hAnsi="Arial"/>
          <w:sz w:val="22"/>
          <w:szCs w:val="22"/>
          <w:color w:val="auto"/>
        </w:rPr>
        <w:t>Executive acknowledges that</w:t>
      </w:r>
    </w:p>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Executive has not relied upon any representations or statements, written or oral, not set forth in this Release Agreement. This Release Agreement cannot be modified except in writing and signed by all Parties. The foregoing notwithstanding, if any part of this Release Agreement is found to be unenforceable by a court of competent jurisdiction, then such unenforceable portion will be modified to be enforceable, or severed from this Release Agreement if it cannot be modified, and such modification or severance shall have no effect upon the remaining portions of the Release Agreement which shall remain in full force and effect.</w:t>
      </w:r>
    </w:p>
    <w:p>
      <w:pPr>
        <w:spacing w:after="0" w:line="183" w:lineRule="exact"/>
        <w:rPr>
          <w:sz w:val="20"/>
          <w:szCs w:val="20"/>
          <w:color w:val="auto"/>
        </w:rPr>
      </w:pPr>
    </w:p>
    <w:p>
      <w:pPr>
        <w:ind w:left="1680" w:hanging="834"/>
        <w:spacing w:after="0"/>
        <w:tabs>
          <w:tab w:leader="none" w:pos="168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22"/>
          <w:szCs w:val="22"/>
          <w:b w:val="1"/>
          <w:bCs w:val="1"/>
          <w:u w:val="single" w:color="auto"/>
          <w:color w:val="auto"/>
        </w:rPr>
        <w:t>ssignment and Successors.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without Executive’s consent,</w:t>
      </w:r>
    </w:p>
    <w:p>
      <w:pPr>
        <w:spacing w:after="0" w:line="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assign its rights and obligations under this Agreement to any entity, including any successor to all or substantially all the assets of the Company, by merger or otherwise.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174" w:lineRule="exact"/>
        <w:rPr>
          <w:sz w:val="20"/>
          <w:szCs w:val="20"/>
          <w:color w:val="auto"/>
        </w:rPr>
      </w:pPr>
    </w:p>
    <w:p>
      <w:pPr>
        <w:ind w:right="2240" w:firstLine="846"/>
        <w:spacing w:after="0" w:line="334" w:lineRule="auto"/>
        <w:tabs>
          <w:tab w:leader="none" w:pos="1679" w:val="left"/>
        </w:tabs>
        <w:numPr>
          <w:ilvl w:val="0"/>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G</w:t>
      </w:r>
      <w:r>
        <w:rPr>
          <w:rFonts w:ascii="Arial" w:cs="Arial" w:eastAsia="Arial" w:hAnsi="Arial"/>
          <w:sz w:val="19"/>
          <w:szCs w:val="19"/>
          <w:b w:val="1"/>
          <w:bCs w:val="1"/>
          <w:u w:val="single" w:color="auto"/>
          <w:color w:val="auto"/>
        </w:rPr>
        <w:t>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construed, interpreted and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enforced in accordance with the substantive laws of the State of Delaware, without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299720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40" w:top="172" w:right="479" w:bottom="1440" w:gutter="0" w:footer="0" w:header="0"/>
        </w:sectPr>
      </w:pPr>
    </w:p>
    <w:bookmarkStart w:id="208" w:name="page209"/>
    <w:bookmarkEnd w:id="208"/>
    <w:p>
      <w:pPr>
        <w:spacing w:after="0"/>
        <w:rPr>
          <w:sz w:val="20"/>
          <w:szCs w:val="20"/>
          <w:color w:val="auto"/>
        </w:rPr>
      </w:pPr>
      <w:r>
        <w:rPr>
          <w:rFonts w:ascii="Arial" w:cs="Arial" w:eastAsia="Arial" w:hAnsi="Arial"/>
          <w:sz w:val="19"/>
          <w:szCs w:val="19"/>
          <w:color w:val="auto"/>
        </w:rPr>
        <w:t>the principles of conflicts of law of Delaware or any other jurisdiction, and where applicable, the laws of the United States</w:t>
      </w:r>
    </w:p>
    <w:p>
      <w:pPr>
        <w:spacing w:after="0" w:line="235" w:lineRule="exact"/>
        <w:rPr>
          <w:sz w:val="20"/>
          <w:szCs w:val="20"/>
          <w:color w:val="auto"/>
        </w:rPr>
      </w:pPr>
    </w:p>
    <w:p>
      <w:pPr>
        <w:ind w:left="1680" w:hanging="834"/>
        <w:spacing w:after="0"/>
        <w:tabs>
          <w:tab w:leader="none" w:pos="168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ounterparts</w:t>
      </w:r>
      <w:r>
        <w:rPr>
          <w:rFonts w:ascii="Arial" w:cs="Arial" w:eastAsia="Arial" w:hAnsi="Arial"/>
          <w:sz w:val="22"/>
          <w:szCs w:val="22"/>
          <w:color w:val="auto"/>
        </w:rPr>
        <w:t>. This Agreement may be executed in several counterparts, each of</w:t>
      </w:r>
    </w:p>
    <w:p>
      <w:pPr>
        <w:spacing w:after="0" w:line="20" w:lineRule="exact"/>
        <w:rPr>
          <w:sz w:val="20"/>
          <w:szCs w:val="20"/>
          <w:color w:val="auto"/>
        </w:rPr>
      </w:pPr>
    </w:p>
    <w:p>
      <w:pPr>
        <w:ind w:left="4420" w:right="1000" w:hanging="4421"/>
        <w:spacing w:after="0" w:line="236" w:lineRule="auto"/>
        <w:rPr>
          <w:sz w:val="20"/>
          <w:szCs w:val="20"/>
          <w:color w:val="auto"/>
        </w:rPr>
      </w:pPr>
      <w:r>
        <w:rPr>
          <w:rFonts w:ascii="Arial" w:cs="Arial" w:eastAsia="Arial" w:hAnsi="Arial"/>
          <w:sz w:val="22"/>
          <w:szCs w:val="22"/>
          <w:color w:val="auto"/>
        </w:rPr>
        <w:t>which shall be deemed to be an original, but all of which together will constitute one and the same Agreement. [</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363220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80"/>
          </w:cols>
          <w:pgMar w:left="440" w:top="172" w:right="879" w:bottom="1440" w:gutter="0" w:footer="0" w:header="0"/>
        </w:sectPr>
      </w:pPr>
    </w:p>
    <w:bookmarkStart w:id="209" w:name="page210"/>
    <w:bookmarkEnd w:id="209"/>
    <w:p>
      <w:pPr>
        <w:ind w:firstLine="825"/>
        <w:spacing w:after="0" w:line="250" w:lineRule="auto"/>
        <w:rPr>
          <w:sz w:val="20"/>
          <w:szCs w:val="20"/>
          <w:color w:val="auto"/>
        </w:rPr>
      </w:pPr>
      <w:r>
        <w:rPr>
          <w:rFonts w:ascii="Arial" w:cs="Arial" w:eastAsia="Arial" w:hAnsi="Arial"/>
          <w:sz w:val="22"/>
          <w:szCs w:val="22"/>
          <w:color w:val="auto"/>
        </w:rPr>
        <w:t>IN WITNESS WHEREOF, the Company has caused this Release Agreement to be signed by its duly authorized officer, and Executive has executed this Release Agreement on the day and year written below.</w:t>
      </w:r>
    </w:p>
    <w:p>
      <w:pPr>
        <w:spacing w:after="0" w:line="155"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COMPANY</w:t>
      </w:r>
    </w:p>
    <w:p>
      <w:pPr>
        <w:spacing w:after="0" w:line="307" w:lineRule="exact"/>
        <w:rPr>
          <w:sz w:val="20"/>
          <w:szCs w:val="20"/>
          <w:color w:val="auto"/>
        </w:rPr>
      </w:pPr>
    </w:p>
    <w:p>
      <w:pPr>
        <w:ind w:left="4220"/>
        <w:spacing w:after="0"/>
        <w:tabs>
          <w:tab w:leader="none" w:pos="5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 Title: Date:</w:t>
      </w: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EXECUTIVE</w:t>
      </w: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Marc Stratton</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60"/>
          </w:cols>
          <w:pgMar w:left="440" w:top="172" w:right="4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We consent to the incorporation by reference in Registration Statement No. 333-234781 on form S-3 and Nos. 333-184214, 333-189684 and 333-237323 on Form S-8 of our reports dated March 4, 2021, relating to the consolidated financial statements of Summit Midstream Partners, LP and subsidiaries (the “Partnership”), and the effectiveness of the Partnership's internal control over financial reporting, appearing in this Annual Report on Form 10-K of Summit Midstream Partners, LP for the year ended December 31, 2020.</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DELOITTE &amp; TOUCHE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March 4, 2021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23.1-1</w:t>
      </w:r>
    </w:p>
    <w:p>
      <w:pPr>
        <w:sectPr>
          <w:pgSz w:w="11900" w:h="16838" w:orient="portrait"/>
          <w:cols w:equalWidth="0" w:num="1">
            <w:col w:w="11240"/>
          </w:cols>
          <w:pgMar w:left="320" w:top="346"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333-234781) and the Registration Statements on Form S-8 (Nos. 333-184214, 333-189684, and 333-237323) of Summit Midstream Partners, LP of our report dated March 6, 2020 relating to the financial statements of Ohio Gathering Company, L.L.C., which appears in this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23.2-1</w:t>
      </w:r>
    </w:p>
    <w:p>
      <w:pPr>
        <w:sectPr>
          <w:pgSz w:w="11900" w:h="16838" w:orient="portrait"/>
          <w:cols w:equalWidth="0" w:num="1">
            <w:col w:w="11240"/>
          </w:cols>
          <w:pgMar w:left="320" w:top="351"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71" w:lineRule="exact"/>
        <w:rPr>
          <w:sz w:val="20"/>
          <w:szCs w:val="20"/>
          <w:color w:val="auto"/>
        </w:rPr>
      </w:pPr>
    </w:p>
    <w:p>
      <w:pPr>
        <w:ind w:left="380" w:hanging="174"/>
        <w:spacing w:after="0"/>
        <w:tabs>
          <w:tab w:leader="none" w:pos="3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Summit Midstream Partners, LP;</w:t>
      </w:r>
    </w:p>
    <w:p>
      <w:pPr>
        <w:spacing w:after="0" w:line="76" w:lineRule="exact"/>
        <w:rPr>
          <w:rFonts w:ascii="Arial" w:cs="Arial" w:eastAsia="Arial" w:hAnsi="Arial"/>
          <w:sz w:val="18"/>
          <w:szCs w:val="18"/>
          <w:color w:val="auto"/>
        </w:rPr>
      </w:pPr>
    </w:p>
    <w:p>
      <w:pPr>
        <w:ind w:left="200" w:right="60" w:firstLine="6"/>
        <w:spacing w:after="0" w:line="334" w:lineRule="auto"/>
        <w:tabs>
          <w:tab w:leader="none" w:pos="3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00" w:right="360" w:firstLine="6"/>
        <w:spacing w:after="0" w:line="306" w:lineRule="auto"/>
        <w:tabs>
          <w:tab w:leader="none" w:pos="3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200" w:right="140" w:firstLine="6"/>
        <w:spacing w:after="0" w:line="263" w:lineRule="auto"/>
        <w:tabs>
          <w:tab w:leader="none" w:pos="3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500" w:firstLine="1"/>
        <w:spacing w:after="0" w:line="263" w:lineRule="auto"/>
        <w:tabs>
          <w:tab w:leader="none" w:pos="74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500" w:right="220" w:firstLine="1"/>
        <w:spacing w:after="0" w:line="263" w:lineRule="auto"/>
        <w:tabs>
          <w:tab w:leader="none" w:pos="75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00" w:right="820" w:firstLine="1"/>
        <w:spacing w:after="0" w:line="325" w:lineRule="auto"/>
        <w:tabs>
          <w:tab w:leader="none" w:pos="74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500" w:right="260" w:firstLine="1"/>
        <w:spacing w:after="0" w:line="263" w:lineRule="auto"/>
        <w:tabs>
          <w:tab w:leader="none" w:pos="75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200" w:right="100" w:firstLine="6"/>
        <w:spacing w:after="0" w:line="306" w:lineRule="auto"/>
        <w:tabs>
          <w:tab w:leader="none" w:pos="3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00" w:right="180" w:firstLine="1"/>
        <w:spacing w:after="0" w:line="277" w:lineRule="auto"/>
        <w:tabs>
          <w:tab w:leader="none" w:pos="74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500" w:right="160" w:firstLine="1"/>
        <w:spacing w:after="0" w:line="277" w:lineRule="auto"/>
        <w:tabs>
          <w:tab w:leader="none" w:pos="75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940" w:type="dxa"/>
            <w:vAlign w:val="bottom"/>
            <w:gridSpan w:val="2"/>
          </w:tcPr>
          <w:p>
            <w:pPr>
              <w:ind w:left="1460"/>
              <w:spacing w:after="0"/>
              <w:rPr>
                <w:sz w:val="20"/>
                <w:szCs w:val="20"/>
                <w:color w:val="auto"/>
              </w:rPr>
            </w:pPr>
            <w:r>
              <w:rPr>
                <w:rFonts w:ascii="Arial" w:cs="Arial" w:eastAsia="Arial" w:hAnsi="Arial"/>
                <w:sz w:val="18"/>
                <w:szCs w:val="18"/>
                <w:color w:val="auto"/>
              </w:rPr>
              <w:t>March 4, 2021</w:t>
            </w:r>
          </w:p>
        </w:tc>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/s/ Heath Deneke</w:t>
            </w:r>
          </w:p>
        </w:tc>
      </w:tr>
      <w:tr>
        <w:trPr>
          <w:trHeight w:val="195"/>
        </w:trPr>
        <w:tc>
          <w:tcPr>
            <w:tcW w:w="68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000" w:type="dxa"/>
            <w:vAlign w:val="bottom"/>
          </w:tcPr>
          <w:p>
            <w:pPr>
              <w:spacing w:after="0"/>
              <w:rPr>
                <w:sz w:val="16"/>
                <w:szCs w:val="16"/>
                <w:color w:val="auto"/>
              </w:rPr>
            </w:pP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Heath Deneke</w:t>
            </w:r>
          </w:p>
        </w:tc>
      </w:tr>
      <w:tr>
        <w:trPr>
          <w:trHeight w:val="216"/>
        </w:trPr>
        <w:tc>
          <w:tcPr>
            <w:tcW w:w="6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w w:val="98"/>
              </w:rPr>
              <w:t>President, Chief Executive Officer and Director of Summit</w:t>
            </w:r>
          </w:p>
        </w:tc>
      </w:tr>
      <w:tr>
        <w:trPr>
          <w:trHeight w:val="216"/>
        </w:trPr>
        <w:tc>
          <w:tcPr>
            <w:tcW w:w="6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Midstream GP, LLC (the general partner of Summit</w:t>
            </w:r>
          </w:p>
        </w:tc>
      </w:tr>
      <w:tr>
        <w:trPr>
          <w:trHeight w:val="230"/>
        </w:trPr>
        <w:tc>
          <w:tcPr>
            <w:tcW w:w="6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Midstream Partners,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337"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71" w:lineRule="exact"/>
        <w:rPr>
          <w:sz w:val="20"/>
          <w:szCs w:val="20"/>
          <w:color w:val="auto"/>
        </w:rPr>
      </w:pPr>
    </w:p>
    <w:p>
      <w:pPr>
        <w:ind w:left="380" w:hanging="174"/>
        <w:spacing w:after="0"/>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Summit Midstream Partners, LP;</w:t>
      </w:r>
    </w:p>
    <w:p>
      <w:pPr>
        <w:spacing w:after="0" w:line="76" w:lineRule="exact"/>
        <w:rPr>
          <w:rFonts w:ascii="Arial" w:cs="Arial" w:eastAsia="Arial" w:hAnsi="Arial"/>
          <w:sz w:val="18"/>
          <w:szCs w:val="18"/>
          <w:color w:val="auto"/>
        </w:rPr>
      </w:pPr>
    </w:p>
    <w:p>
      <w:pPr>
        <w:ind w:left="200" w:right="60" w:firstLine="6"/>
        <w:spacing w:after="0" w:line="334" w:lineRule="auto"/>
        <w:tabs>
          <w:tab w:leader="none" w:pos="3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00" w:right="360" w:firstLine="6"/>
        <w:spacing w:after="0" w:line="306" w:lineRule="auto"/>
        <w:tabs>
          <w:tab w:leader="none" w:pos="3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200" w:right="140" w:firstLine="6"/>
        <w:spacing w:after="0" w:line="263" w:lineRule="auto"/>
        <w:tabs>
          <w:tab w:leader="none" w:pos="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500" w:firstLine="1"/>
        <w:spacing w:after="0" w:line="263" w:lineRule="auto"/>
        <w:tabs>
          <w:tab w:leader="none" w:pos="74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500" w:right="220" w:firstLine="1"/>
        <w:spacing w:after="0" w:line="263" w:lineRule="auto"/>
        <w:tabs>
          <w:tab w:leader="none" w:pos="75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00" w:right="820" w:firstLine="1"/>
        <w:spacing w:after="0" w:line="325" w:lineRule="auto"/>
        <w:tabs>
          <w:tab w:leader="none" w:pos="74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500" w:right="260" w:firstLine="1"/>
        <w:spacing w:after="0" w:line="263" w:lineRule="auto"/>
        <w:tabs>
          <w:tab w:leader="none" w:pos="75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200" w:right="100" w:firstLine="6"/>
        <w:spacing w:after="0" w:line="306" w:lineRule="auto"/>
        <w:tabs>
          <w:tab w:leader="none" w:pos="3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00" w:right="180" w:firstLine="1"/>
        <w:spacing w:after="0" w:line="277" w:lineRule="auto"/>
        <w:tabs>
          <w:tab w:leader="none" w:pos="74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500" w:right="160" w:firstLine="1"/>
        <w:spacing w:after="0" w:line="277" w:lineRule="auto"/>
        <w:tabs>
          <w:tab w:leader="none" w:pos="75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March 4, 2021</w:t>
            </w:r>
          </w:p>
        </w:tc>
        <w:tc>
          <w:tcPr>
            <w:tcW w:w="2000" w:type="dxa"/>
            <w:vAlign w:val="bottom"/>
          </w:tcPr>
          <w:p>
            <w:pPr>
              <w:spacing w:after="0"/>
              <w:rPr>
                <w:sz w:val="20"/>
                <w:szCs w:val="20"/>
                <w:color w:val="auto"/>
              </w:rPr>
            </w:pPr>
          </w:p>
        </w:tc>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Marc D. Stratton</w:t>
            </w:r>
          </w:p>
        </w:tc>
      </w:tr>
      <w:tr>
        <w:trPr>
          <w:trHeight w:val="195"/>
        </w:trPr>
        <w:tc>
          <w:tcPr>
            <w:tcW w:w="6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80" w:type="dxa"/>
            <w:vAlign w:val="bottom"/>
          </w:tcPr>
          <w:p>
            <w:pPr>
              <w:ind w:left="40"/>
              <w:spacing w:after="0" w:line="195" w:lineRule="exact"/>
              <w:rPr>
                <w:sz w:val="20"/>
                <w:szCs w:val="20"/>
                <w:color w:val="auto"/>
              </w:rPr>
            </w:pPr>
            <w:r>
              <w:rPr>
                <w:rFonts w:ascii="Arial" w:cs="Arial" w:eastAsia="Arial" w:hAnsi="Arial"/>
                <w:sz w:val="18"/>
                <w:szCs w:val="18"/>
                <w:color w:val="auto"/>
              </w:rPr>
              <w:t>Marc D. Stratton</w:t>
            </w:r>
          </w:p>
        </w:tc>
      </w:tr>
      <w:tr>
        <w:trPr>
          <w:trHeight w:val="216"/>
        </w:trPr>
        <w:tc>
          <w:tcPr>
            <w:tcW w:w="6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 of</w:t>
            </w:r>
          </w:p>
        </w:tc>
      </w:tr>
      <w:tr>
        <w:trPr>
          <w:trHeight w:val="216"/>
        </w:trPr>
        <w:tc>
          <w:tcPr>
            <w:tcW w:w="6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w w:val="95"/>
              </w:rPr>
              <w:t>Summit Midstream GP, LLC (the general partner of Summit</w:t>
            </w:r>
          </w:p>
        </w:tc>
      </w:tr>
      <w:tr>
        <w:trPr>
          <w:trHeight w:val="230"/>
        </w:trPr>
        <w:tc>
          <w:tcPr>
            <w:tcW w:w="6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Midstream Partners, LP)</w:t>
            </w:r>
          </w:p>
        </w:tc>
      </w:tr>
      <w:tr>
        <w:trPr>
          <w:trHeight w:val="918"/>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580" w:type="dxa"/>
            <w:vAlign w:val="bottom"/>
            <w:gridSpan w:val="2"/>
          </w:tcPr>
          <w:p>
            <w:pPr>
              <w:ind w:left="560"/>
              <w:spacing w:after="0"/>
              <w:rPr>
                <w:sz w:val="20"/>
                <w:szCs w:val="20"/>
                <w:color w:val="auto"/>
              </w:rPr>
            </w:pPr>
            <w:r>
              <w:rPr>
                <w:rFonts w:ascii="Arial" w:cs="Arial" w:eastAsia="Arial" w:hAnsi="Arial"/>
                <w:sz w:val="18"/>
                <w:szCs w:val="18"/>
                <w:color w:val="auto"/>
              </w:rPr>
              <w:t>EX 31.2-1</w:t>
            </w:r>
          </w:p>
        </w:tc>
      </w:tr>
    </w:tbl>
    <w:p>
      <w:pPr>
        <w:sectPr>
          <w:pgSz w:w="11900" w:h="16838" w:orient="portrait"/>
          <w:cols w:equalWidth="0" w:num="1">
            <w:col w:w="11240"/>
          </w:cols>
          <w:pgMar w:left="320" w:top="337"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connection with the annual report on Form 10-K of Summit Midstream Partners, LP (the “Registrant”) for the annual period ended December 31, 2020,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30" w:lineRule="exact"/>
        <w:rPr>
          <w:sz w:val="20"/>
          <w:szCs w:val="20"/>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46" w:lineRule="auto"/>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 Heath Deneke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79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Heath Deneke</w:t>
            </w: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President, Chief Executive Officer and Director of Summit Midstream GP, LLC (the general</w:t>
            </w:r>
          </w:p>
        </w:tc>
      </w:tr>
      <w:tr>
        <w:trPr>
          <w:trHeight w:val="203"/>
        </w:trPr>
        <w:tc>
          <w:tcPr>
            <w:tcW w:w="840" w:type="dxa"/>
            <w:vAlign w:val="bottom"/>
          </w:tcPr>
          <w:p>
            <w:pPr>
              <w:spacing w:after="0"/>
              <w:rPr>
                <w:sz w:val="17"/>
                <w:szCs w:val="17"/>
                <w:color w:val="auto"/>
              </w:rPr>
            </w:pP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partner of Summit Midstream Partners, LP)</w:t>
            </w:r>
          </w:p>
        </w:tc>
      </w:tr>
      <w:tr>
        <w:trPr>
          <w:trHeight w:val="217"/>
        </w:trPr>
        <w:tc>
          <w:tcPr>
            <w:tcW w:w="840" w:type="dxa"/>
            <w:vAlign w:val="bottom"/>
          </w:tcPr>
          <w:p>
            <w:pPr>
              <w:ind w:left="60"/>
              <w:spacing w:after="0"/>
              <w:rPr>
                <w:sz w:val="20"/>
                <w:szCs w:val="20"/>
                <w:color w:val="auto"/>
              </w:rPr>
            </w:pPr>
            <w:r>
              <w:rPr>
                <w:rFonts w:ascii="Arial" w:cs="Arial" w:eastAsia="Arial" w:hAnsi="Arial"/>
                <w:sz w:val="18"/>
                <w:szCs w:val="18"/>
                <w:color w:val="auto"/>
              </w:rPr>
              <w:t>Date:</w:t>
            </w:r>
          </w:p>
        </w:tc>
        <w:tc>
          <w:tcPr>
            <w:tcW w:w="7920" w:type="dxa"/>
            <w:vAlign w:val="bottom"/>
          </w:tcPr>
          <w:p>
            <w:pPr>
              <w:ind w:left="240"/>
              <w:spacing w:after="0"/>
              <w:rPr>
                <w:sz w:val="20"/>
                <w:szCs w:val="20"/>
                <w:color w:val="auto"/>
              </w:rPr>
            </w:pPr>
            <w:r>
              <w:rPr>
                <w:rFonts w:ascii="Arial" w:cs="Arial" w:eastAsia="Arial" w:hAnsi="Arial"/>
                <w:sz w:val="18"/>
                <w:szCs w:val="18"/>
                <w:color w:val="auto"/>
              </w:rPr>
              <w:t>March 4, 2021</w:t>
            </w:r>
          </w:p>
        </w:tc>
      </w:tr>
      <w:tr>
        <w:trPr>
          <w:trHeight w:val="864"/>
        </w:trPr>
        <w:tc>
          <w:tcPr>
            <w:tcW w:w="8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i w:val="1"/>
                <w:iCs w:val="1"/>
                <w:color w:val="auto"/>
              </w:rPr>
              <w:t>/s/ Marc D. Stratton</w:t>
            </w:r>
          </w:p>
        </w:tc>
      </w:tr>
      <w:tr>
        <w:trPr>
          <w:trHeight w:val="209"/>
        </w:trPr>
        <w:tc>
          <w:tcPr>
            <w:tcW w:w="840" w:type="dxa"/>
            <w:vAlign w:val="bottom"/>
          </w:tcPr>
          <w:p>
            <w:pPr>
              <w:ind w:left="60"/>
              <w:spacing w:after="0"/>
              <w:rPr>
                <w:sz w:val="20"/>
                <w:szCs w:val="20"/>
                <w:color w:val="auto"/>
              </w:rPr>
            </w:pPr>
            <w:r>
              <w:rPr>
                <w:rFonts w:ascii="Arial" w:cs="Arial" w:eastAsia="Arial" w:hAnsi="Arial"/>
                <w:sz w:val="18"/>
                <w:szCs w:val="18"/>
                <w:color w:val="auto"/>
              </w:rPr>
              <w:t>Name:</w:t>
            </w:r>
          </w:p>
        </w:tc>
        <w:tc>
          <w:tcPr>
            <w:tcW w:w="7920" w:type="dxa"/>
            <w:vAlign w:val="bottom"/>
          </w:tcPr>
          <w:p>
            <w:pPr>
              <w:ind w:left="240"/>
              <w:spacing w:after="0"/>
              <w:rPr>
                <w:sz w:val="20"/>
                <w:szCs w:val="20"/>
                <w:color w:val="auto"/>
              </w:rPr>
            </w:pPr>
            <w:r>
              <w:rPr>
                <w:rFonts w:ascii="Arial" w:cs="Arial" w:eastAsia="Arial" w:hAnsi="Arial"/>
                <w:sz w:val="18"/>
                <w:szCs w:val="18"/>
                <w:color w:val="auto"/>
              </w:rPr>
              <w:t>Marc D. Stratton</w:t>
            </w: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w w:val="99"/>
              </w:rPr>
              <w:t>Executive Vice President and Chief Financial Officer of Summit Midstream GP, LLC (the general</w:t>
            </w:r>
          </w:p>
        </w:tc>
      </w:tr>
      <w:tr>
        <w:trPr>
          <w:trHeight w:val="203"/>
        </w:trPr>
        <w:tc>
          <w:tcPr>
            <w:tcW w:w="840" w:type="dxa"/>
            <w:vAlign w:val="bottom"/>
          </w:tcPr>
          <w:p>
            <w:pPr>
              <w:spacing w:after="0"/>
              <w:rPr>
                <w:sz w:val="17"/>
                <w:szCs w:val="17"/>
                <w:color w:val="auto"/>
              </w:rPr>
            </w:pP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partner of Summit Midstream Partners, LP)</w:t>
            </w:r>
          </w:p>
        </w:tc>
      </w:tr>
      <w:tr>
        <w:trPr>
          <w:trHeight w:val="217"/>
        </w:trPr>
        <w:tc>
          <w:tcPr>
            <w:tcW w:w="840" w:type="dxa"/>
            <w:vAlign w:val="bottom"/>
          </w:tcPr>
          <w:p>
            <w:pPr>
              <w:ind w:left="60"/>
              <w:spacing w:after="0"/>
              <w:rPr>
                <w:sz w:val="20"/>
                <w:szCs w:val="20"/>
                <w:color w:val="auto"/>
              </w:rPr>
            </w:pPr>
            <w:r>
              <w:rPr>
                <w:rFonts w:ascii="Arial" w:cs="Arial" w:eastAsia="Arial" w:hAnsi="Arial"/>
                <w:sz w:val="18"/>
                <w:szCs w:val="18"/>
                <w:color w:val="auto"/>
              </w:rPr>
              <w:t>Date:</w:t>
            </w:r>
          </w:p>
        </w:tc>
        <w:tc>
          <w:tcPr>
            <w:tcW w:w="7920" w:type="dxa"/>
            <w:vAlign w:val="bottom"/>
          </w:tcPr>
          <w:p>
            <w:pPr>
              <w:ind w:left="240"/>
              <w:spacing w:after="0"/>
              <w:rPr>
                <w:sz w:val="20"/>
                <w:szCs w:val="20"/>
                <w:color w:val="auto"/>
              </w:rPr>
            </w:pPr>
            <w:r>
              <w:rPr>
                <w:rFonts w:ascii="Arial" w:cs="Arial" w:eastAsia="Arial" w:hAnsi="Arial"/>
                <w:sz w:val="18"/>
                <w:szCs w:val="18"/>
                <w:color w:val="auto"/>
              </w:rPr>
              <w:t>March 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p>
      <w:pPr>
        <w:sectPr>
          <w:pgSz w:w="11900" w:h="16838" w:orient="portrait"/>
          <w:cols w:equalWidth="0" w:num="1">
            <w:col w:w="11240"/>
          </w:cols>
          <w:pgMar w:left="320" w:top="346"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Ohio Gathering Company,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Financial Statements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229235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INDEX</w:t>
            </w:r>
          </w:p>
        </w:tc>
      </w:tr>
      <w:tr>
        <w:trPr>
          <w:trHeight w:val="493"/>
        </w:trPr>
        <w:tc>
          <w:tcPr>
            <w:tcW w:w="54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180" w:type="dxa"/>
            <w:vAlign w:val="bottom"/>
          </w:tcPr>
          <w:p>
            <w:pPr>
              <w:spacing w:after="0"/>
              <w:rPr>
                <w:sz w:val="24"/>
                <w:szCs w:val="24"/>
                <w:color w:val="auto"/>
              </w:rPr>
            </w:pPr>
          </w:p>
        </w:tc>
      </w:tr>
      <w:tr>
        <w:trPr>
          <w:trHeight w:val="291"/>
        </w:trPr>
        <w:tc>
          <w:tcPr>
            <w:tcW w:w="5400" w:type="dxa"/>
            <w:vAlign w:val="bottom"/>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Report of Independent Registered Public Accounting Firm</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4"/>
                <w:szCs w:val="24"/>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56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5400" w:type="dxa"/>
            <w:vAlign w:val="bottom"/>
          </w:tcPr>
          <w:p>
            <w:pPr>
              <w:ind w:left="6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Balance Sheets</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23"/>
                <w:szCs w:val="23"/>
                <w:color w:val="auto"/>
              </w:rPr>
            </w:pPr>
          </w:p>
        </w:tc>
      </w:tr>
      <w:tr>
        <w:trPr>
          <w:trHeight w:val="270"/>
        </w:trPr>
        <w:tc>
          <w:tcPr>
            <w:tcW w:w="5400" w:type="dxa"/>
            <w:vAlign w:val="bottom"/>
          </w:tcPr>
          <w:p>
            <w:pPr>
              <w:ind w:left="66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Statements of Operations</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23"/>
                <w:szCs w:val="23"/>
                <w:color w:val="auto"/>
              </w:rPr>
            </w:pPr>
          </w:p>
        </w:tc>
      </w:tr>
      <w:tr>
        <w:trPr>
          <w:trHeight w:val="270"/>
        </w:trPr>
        <w:tc>
          <w:tcPr>
            <w:tcW w:w="5400" w:type="dxa"/>
            <w:vAlign w:val="bottom"/>
          </w:tcPr>
          <w:p>
            <w:pPr>
              <w:ind w:left="6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Statements of Changes in Members' Equity</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6</w:t>
            </w:r>
          </w:p>
        </w:tc>
        <w:tc>
          <w:tcPr>
            <w:tcW w:w="180" w:type="dxa"/>
            <w:vAlign w:val="bottom"/>
          </w:tcPr>
          <w:p>
            <w:pPr>
              <w:spacing w:after="0"/>
              <w:rPr>
                <w:sz w:val="23"/>
                <w:szCs w:val="23"/>
                <w:color w:val="auto"/>
              </w:rPr>
            </w:pPr>
          </w:p>
        </w:tc>
      </w:tr>
      <w:tr>
        <w:trPr>
          <w:trHeight w:val="270"/>
        </w:trPr>
        <w:tc>
          <w:tcPr>
            <w:tcW w:w="5400" w:type="dxa"/>
            <w:vAlign w:val="bottom"/>
          </w:tcPr>
          <w:p>
            <w:pPr>
              <w:ind w:left="6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Statements of Cash Flows</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7</w:t>
            </w:r>
          </w:p>
        </w:tc>
        <w:tc>
          <w:tcPr>
            <w:tcW w:w="180" w:type="dxa"/>
            <w:vAlign w:val="bottom"/>
          </w:tcPr>
          <w:p>
            <w:pPr>
              <w:spacing w:after="0"/>
              <w:rPr>
                <w:sz w:val="23"/>
                <w:szCs w:val="23"/>
                <w:color w:val="auto"/>
              </w:rPr>
            </w:pPr>
          </w:p>
        </w:tc>
      </w:tr>
      <w:tr>
        <w:trPr>
          <w:trHeight w:val="270"/>
        </w:trPr>
        <w:tc>
          <w:tcPr>
            <w:tcW w:w="5400" w:type="dxa"/>
            <w:vAlign w:val="bottom"/>
          </w:tcPr>
          <w:p>
            <w:pPr>
              <w:ind w:left="6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Notes to Financial Statements</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23"/>
                <w:szCs w:val="23"/>
                <w:color w:val="auto"/>
              </w:rPr>
            </w:pPr>
          </w:p>
        </w:tc>
      </w:tr>
      <w:tr>
        <w:trPr>
          <w:trHeight w:val="891"/>
        </w:trPr>
        <w:tc>
          <w:tcPr>
            <w:tcW w:w="540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1259840" cy="10629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125984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Managers of Ohio Gathering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have audited the accompanying balance sheets of Ohio Gathering Company, L.L.C. (the “Company”) as of December 31, 2019 and 2018, and the related statements of operations, of changes in members’ equity, and of cash flows for each of the three years in the period ended December 31, 2019, including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2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We conducted our audits of these financial statements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6,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8" w:name="page219"/>
    <w:bookmarkEnd w:id="218"/>
    <w:p>
      <w:pPr>
        <w:ind w:left="458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Balance Sheets ($ in</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82"/>
        </w:trPr>
        <w:tc>
          <w:tcPr>
            <w:tcW w:w="614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140" w:type="dxa"/>
            <w:vAlign w:val="bottom"/>
          </w:tcPr>
          <w:p>
            <w:pPr>
              <w:ind w:left="180"/>
              <w:spacing w:after="0"/>
              <w:rPr>
                <w:sz w:val="20"/>
                <w:szCs w:val="20"/>
                <w:color w:val="auto"/>
              </w:rPr>
            </w:pPr>
            <w:r>
              <w:rPr>
                <w:rFonts w:ascii="Arial" w:cs="Arial" w:eastAsia="Arial" w:hAnsi="Arial"/>
                <w:sz w:val="18"/>
                <w:szCs w:val="18"/>
                <w:color w:val="auto"/>
              </w:rPr>
              <w:t>Cash</w:t>
            </w:r>
          </w:p>
        </w:tc>
        <w:tc>
          <w:tcPr>
            <w:tcW w:w="156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24"/>
                <w:szCs w:val="24"/>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Affiliate receivables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9,604</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14,463</w:t>
            </w: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40,273</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40,035</w:t>
            </w:r>
          </w:p>
        </w:tc>
        <w:tc>
          <w:tcPr>
            <w:tcW w:w="0" w:type="dxa"/>
            <w:vAlign w:val="bottom"/>
          </w:tcPr>
          <w:p>
            <w:pPr>
              <w:spacing w:after="0"/>
              <w:rPr>
                <w:sz w:val="1"/>
                <w:szCs w:val="1"/>
                <w:color w:val="auto"/>
              </w:rPr>
            </w:pP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1,273,775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1,259,075</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Deferred contract costs, net</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3,296</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1,317,390</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1,302,886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1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Affiliate payables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19,816</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27,237</w:t>
            </w:r>
          </w:p>
        </w:tc>
        <w:tc>
          <w:tcPr>
            <w:tcW w:w="0" w:type="dxa"/>
            <w:vAlign w:val="bottom"/>
          </w:tcPr>
          <w:p>
            <w:pPr>
              <w:spacing w:after="0"/>
              <w:rPr>
                <w:sz w:val="1"/>
                <w:szCs w:val="1"/>
                <w:color w:val="auto"/>
              </w:rPr>
            </w:pP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23,707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Members’ equity</w:t>
            </w:r>
          </w:p>
        </w:tc>
        <w:tc>
          <w:tcPr>
            <w:tcW w:w="1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1,293,683</w:t>
            </w: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1,271,946</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5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1,317,390</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219" w:name="page220"/>
    <w:bookmarkEnd w:id="219"/>
    <w:p>
      <w:pPr>
        <w:ind w:left="420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Statements of Operations ($ in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Year Ended December 31,</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141,262</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142,030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140,505</w:t>
            </w: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Facility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48,390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3,974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accretion</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59,154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Impairment expense</w:t>
            </w:r>
          </w:p>
        </w:tc>
        <w:tc>
          <w:tcPr>
            <w:tcW w:w="1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107,817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141,961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1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color w:val="auto"/>
              </w:rPr>
              <w:t>Miscellaneous income</w:t>
            </w:r>
          </w:p>
        </w:tc>
        <w:tc>
          <w:tcPr>
            <w:tcW w:w="12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1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Income before provision for income tax</w:t>
            </w: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color w:val="auto"/>
              </w:rPr>
              <w:t>Provision for deferred income tax expense</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Ohio Gathering Company, L.L.C. Statements of Changes</w:t>
            </w:r>
          </w:p>
        </w:tc>
        <w:tc>
          <w:tcPr>
            <w:tcW w:w="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Members’ Equity ($</w:t>
            </w:r>
          </w:p>
        </w:tc>
        <w:tc>
          <w:tcPr>
            <w:tcW w:w="238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w w:val="88"/>
              </w:rPr>
              <w:t>in thousands)</w:t>
            </w:r>
          </w:p>
        </w:tc>
        <w:tc>
          <w:tcPr>
            <w:tcW w:w="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MarkWest Utica EMG,</w:t>
            </w:r>
          </w:p>
        </w:tc>
        <w:tc>
          <w:tcPr>
            <w:tcW w:w="200" w:type="dxa"/>
            <w:vAlign w:val="bottom"/>
          </w:tcPr>
          <w:p>
            <w:pPr>
              <w:spacing w:after="0"/>
              <w:rPr>
                <w:sz w:val="24"/>
                <w:szCs w:val="24"/>
                <w:color w:val="auto"/>
              </w:rPr>
            </w:pPr>
          </w:p>
        </w:tc>
        <w:tc>
          <w:tcPr>
            <w:tcW w:w="2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Summit Midstream</w:t>
            </w: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2016</w:t>
            </w:r>
          </w:p>
        </w:tc>
        <w:tc>
          <w:tcPr>
            <w:tcW w:w="220" w:type="dxa"/>
            <w:vAlign w:val="bottom"/>
          </w:tcPr>
          <w:p>
            <w:pPr>
              <w:spacing w:after="0"/>
              <w:rPr>
                <w:sz w:val="20"/>
                <w:szCs w:val="20"/>
                <w:color w:val="auto"/>
              </w:rPr>
            </w:pPr>
          </w:p>
        </w:tc>
        <w:tc>
          <w:tcPr>
            <w:tcW w:w="23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L.L.C.</w:t>
            </w:r>
          </w:p>
        </w:tc>
        <w:tc>
          <w:tcPr>
            <w:tcW w:w="200" w:type="dxa"/>
            <w:vAlign w:val="bottom"/>
          </w:tcPr>
          <w:p>
            <w:pPr>
              <w:spacing w:after="0"/>
              <w:rPr>
                <w:sz w:val="20"/>
                <w:szCs w:val="20"/>
                <w:color w:val="auto"/>
              </w:rPr>
            </w:pPr>
          </w:p>
        </w:tc>
        <w:tc>
          <w:tcPr>
            <w:tcW w:w="2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Partners, LP</w:t>
            </w:r>
          </w:p>
        </w:tc>
        <w:tc>
          <w:tcPr>
            <w:tcW w:w="660" w:type="dxa"/>
            <w:vAlign w:val="bottom"/>
          </w:tcPr>
          <w:p>
            <w:pPr>
              <w:spacing w:after="0"/>
              <w:rPr>
                <w:sz w:val="20"/>
                <w:szCs w:val="20"/>
                <w:color w:val="auto"/>
              </w:rPr>
            </w:pPr>
          </w:p>
        </w:tc>
        <w:tc>
          <w:tcPr>
            <w:tcW w:w="180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794,029</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556,995</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1,351,024</w:t>
            </w:r>
          </w:p>
        </w:tc>
        <w:tc>
          <w:tcPr>
            <w:tcW w:w="0" w:type="dxa"/>
            <w:vAlign w:val="bottom"/>
          </w:tcPr>
          <w:p>
            <w:pPr>
              <w:spacing w:after="0"/>
              <w:rPr>
                <w:sz w:val="1"/>
                <w:szCs w:val="1"/>
                <w:color w:val="auto"/>
              </w:rPr>
            </w:pPr>
          </w:p>
        </w:tc>
      </w:tr>
      <w:tr>
        <w:trPr>
          <w:trHeight w:val="377"/>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37,355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24,903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62,258</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(60,330)</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(40,220)</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(100,550)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18,874</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789,928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554,261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1,344,189</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7,386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(52,908)</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(35,272)</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(88,180)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746,582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525,364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1,271,946</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83,610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(58,010)</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(37,300)</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20,377</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792,559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501,124</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1,293,683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221" w:name="page222"/>
    <w:bookmarkEnd w:id="221"/>
    <w:p>
      <w:pPr>
        <w:ind w:left="418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 ($</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42"/>
        </w:trPr>
        <w:tc>
          <w:tcPr>
            <w:tcW w:w="59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by operating activities: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Depreciation and accretion</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62,470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59,154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68,294</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Impairment expense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3,469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30,443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Gain on insurance settlement related to construction costs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Provision for deferred income tax expense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ARO settlement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9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Trade receivables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2,621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Affiliate receivables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(1,389)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(1,195)</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Affiliate payables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1,641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All other, net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99,675</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98,145</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(92,496)</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(47,056)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(83,845)</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10,662</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15,573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Proceeds from insurance settlement related to construction</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costs</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(81,834)</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Contributions from members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83,610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12,310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62,258</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Distributions to members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(95,310)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(88,180)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(11,736)</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Net increase (decrease) in cash</w:t>
            </w:r>
          </w:p>
        </w:tc>
        <w:tc>
          <w:tcPr>
            <w:tcW w:w="102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6,105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(5,743)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(7,220)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6,523</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12,266</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19,486</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Cash at end of year</w:t>
            </w:r>
          </w:p>
        </w:tc>
        <w:tc>
          <w:tcPr>
            <w:tcW w:w="102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accrued property and equipment</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7,671</w:t>
            </w:r>
          </w:p>
        </w:tc>
        <w:tc>
          <w:tcPr>
            <w:tcW w:w="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affiliate payables for purchases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affiliate receivables for sales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5,443</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2,238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2" w:name="page223"/>
    <w:bookmarkEnd w:id="222"/>
    <w:p>
      <w:pPr>
        <w:jc w:val="center"/>
        <w:ind w:left="82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1.Organization and Business</w:t>
      </w:r>
    </w:p>
    <w:p>
      <w:pPr>
        <w:spacing w:after="0" w:line="270" w:lineRule="exact"/>
        <w:rPr>
          <w:sz w:val="20"/>
          <w:szCs w:val="20"/>
          <w:color w:val="auto"/>
        </w:rPr>
      </w:pPr>
    </w:p>
    <w:p>
      <w:pPr>
        <w:jc w:val="both"/>
        <w:ind w:left="60" w:firstLine="720"/>
        <w:spacing w:after="0" w:line="275" w:lineRule="auto"/>
        <w:rPr>
          <w:sz w:val="20"/>
          <w:szCs w:val="20"/>
          <w:color w:val="auto"/>
        </w:rPr>
      </w:pPr>
      <w:r>
        <w:rPr>
          <w:rFonts w:ascii="Arial" w:cs="Arial" w:eastAsia="Arial" w:hAnsi="Arial"/>
          <w:sz w:val="17"/>
          <w:szCs w:val="17"/>
          <w:color w:val="auto"/>
        </w:rPr>
        <w:t>Effective May 31, 2012, MarkWest Utica EMG, L.L.C. (“MarkWest Utica”) a wholly-owned subsidiary of MPLX LP, entered into the Limited Liability Company Agreement (the “Original LLC Agreement”) with Blackhawk Midstream LLC (“Blackhawk”), in order to form Ohio Gathering Company, L.L.C. (the “Company” or “Ohio Gathering”). The Company provides natural gas gathering and compression services in the Utica Shale region of Ohio. All operational and administrative services are provided through contractual arrangements with affiliates of MarkWest Utica Operating Company, L.L.C. (“MarkWest Utica Operating”). See Note 3 for more information regarding affiliate transactions.</w:t>
      </w:r>
    </w:p>
    <w:p>
      <w:pPr>
        <w:spacing w:after="0" w:line="68" w:lineRule="exact"/>
        <w:rPr>
          <w:sz w:val="20"/>
          <w:szCs w:val="20"/>
          <w:color w:val="auto"/>
        </w:rPr>
      </w:pPr>
    </w:p>
    <w:p>
      <w:pPr>
        <w:jc w:val="both"/>
        <w:ind w:left="60" w:firstLine="720"/>
        <w:spacing w:after="0" w:line="259" w:lineRule="auto"/>
        <w:rPr>
          <w:sz w:val="20"/>
          <w:szCs w:val="20"/>
          <w:color w:val="auto"/>
        </w:rPr>
      </w:pPr>
      <w:r>
        <w:rPr>
          <w:rFonts w:ascii="Arial" w:cs="Arial" w:eastAsia="Arial" w:hAnsi="Arial"/>
          <w:sz w:val="18"/>
          <w:szCs w:val="18"/>
          <w:color w:val="auto"/>
        </w:rPr>
        <w:t>In January 2014, Blackhawk sold its less than 1% ownership interest and an option to acquire a 40% equity interest in Ohio Gathering (the “Ohio Gathering Option” - see Note 2, Deferred Contract Costs, for further discussion) to Summit Midstream Partners, LP (“SMLP”). Effective June 1, 2014, SMLP exercised the Ohio Gathering Option and increased its equity ownership from less than 1% to approximately 40% through a net cash investment of $341.4 million.</w:t>
      </w:r>
    </w:p>
    <w:p>
      <w:pPr>
        <w:spacing w:after="0" w:line="79" w:lineRule="exact"/>
        <w:rPr>
          <w:sz w:val="20"/>
          <w:szCs w:val="20"/>
          <w:color w:val="auto"/>
        </w:rPr>
      </w:pPr>
    </w:p>
    <w:p>
      <w:pPr>
        <w:ind w:left="60" w:firstLine="720"/>
        <w:spacing w:after="0" w:line="269" w:lineRule="auto"/>
        <w:rPr>
          <w:sz w:val="20"/>
          <w:szCs w:val="20"/>
          <w:color w:val="auto"/>
        </w:rPr>
      </w:pPr>
      <w:r>
        <w:rPr>
          <w:rFonts w:ascii="Arial" w:cs="Arial" w:eastAsia="Arial" w:hAnsi="Arial"/>
          <w:sz w:val="17"/>
          <w:szCs w:val="17"/>
          <w:color w:val="auto"/>
        </w:rPr>
        <w:t>In August 2014, MarkWest Utica and SMLP entered into the Third Amended and Restated Limited Liability Company Agreement of Ohio Gathering Company, L.L.C. (“the Third Amended LLC Agreement”). In accordance with the Third Amended LLC Agreement, SMLP has the right, but not the obligation, to make additional capital contributions subject to certain limitations. If SMLP elects to contribute capital in response to a particular capital call then the aggregate amount of capital that MarkWest Utica is required to contribute pursuant to such capital call will be decreased, dollar for dollar, by the amount of capital SMLP elects to contribute. If a member fails to contribute any capital to the Company that is committed to be contributed or fails to timely wire the True-Up Amount (as defined in the Third Amended LLC Agreement) such member will be considered in default but will remain fully obligated to contribute such capital to the Company. The Company will be entitled to pursue all remedies available at law against the defaulting member. Through December 31, 2018, SMLP had elected to contribute 40% of all capital calls. On February 28, 2019, SMLP gave a formal notice of its election not to fund its pro rata portion of capital calls which has resulted in a reduction of its percentage interest in the Company as of December 31, 2019 from 40% to 38%. As of December 31, 2019, MarkWest Utica has contributed $1.4 billion and SMLP has contributed $853 million to the Company.</w:t>
      </w:r>
    </w:p>
    <w:p>
      <w:pPr>
        <w:spacing w:after="0" w:line="74" w:lineRule="exact"/>
        <w:rPr>
          <w:sz w:val="20"/>
          <w:szCs w:val="20"/>
          <w:color w:val="auto"/>
        </w:rPr>
      </w:pPr>
    </w:p>
    <w:p>
      <w:pPr>
        <w:jc w:val="both"/>
        <w:ind w:left="60" w:firstLine="720"/>
        <w:spacing w:after="0" w:line="254" w:lineRule="auto"/>
        <w:rPr>
          <w:sz w:val="20"/>
          <w:szCs w:val="20"/>
          <w:color w:val="auto"/>
        </w:rPr>
      </w:pPr>
      <w:r>
        <w:rPr>
          <w:rFonts w:ascii="Arial" w:cs="Arial" w:eastAsia="Arial" w:hAnsi="Arial"/>
          <w:sz w:val="18"/>
          <w:szCs w:val="18"/>
          <w:color w:val="auto"/>
        </w:rPr>
        <w:t>The business and affairs of the Company are overseen by a board of managers. The composition of the board of managers changes in accordance with changes in investment balances. The reduction in SMLP’s percentage interest resulted in the loss of a board seat effective January 31, 2019. Therefore, effective January 31, 2019, the board of managers consists of three managers designated by MarkWest Utica and one manager designated by SMLP. The board of managers has delegated to MarkWest Utica Operating the authority to manage the day-to-day operations of the Company, subject to certain approval rights retained by the board. Pursuant to a services agreement between the Company and MarkWest Utica Operating, an affiliate of MarkWest Utica Operating provides all employees and services necessary for the daily operations and management of the Company’s business. The Company is required to distribute all available cash, as defined in the Third Amended LLC Agreement, to the members within 45 days of the end of each calendar month.</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left="60" w:firstLine="720"/>
        <w:spacing w:after="0" w:line="277" w:lineRule="auto"/>
        <w:rPr>
          <w:sz w:val="20"/>
          <w:szCs w:val="20"/>
          <w:color w:val="auto"/>
        </w:rPr>
      </w:pPr>
      <w:r>
        <w:rPr>
          <w:rFonts w:ascii="Arial" w:cs="Arial" w:eastAsia="Arial" w:hAnsi="Arial"/>
          <w:sz w:val="18"/>
          <w:szCs w:val="18"/>
          <w:color w:val="auto"/>
        </w:rPr>
        <w:t>The accompanying financial statements of the Company have been prepared in accordance with accounting principles generally accepted in the United States of America (“GAAP”).</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60" w:firstLine="720"/>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the disclosure of contingent assets and liabilities as of the date of the financial statements and the reported amounts of revenues and expenses during the respective reporting periods. Estimates are subject to uncertainties due to the levels of subjectivity and judgment necessary to account for highly uncertain matters or the susceptibility of such matters to change and affect items such as, valuing inventory; evaluating impairments of long-lived assets; establishing estimated useful lives for long-lived assets; estimating revenues, expense accruals and capital expenditures; valuing asset retirement obligations; establishing inputs when determining fair value of options; evaluating forecasts when determining income tax valuation allowances; and determining liabilities, if any, for environmental and legal contingencies. Actual results could differ materially from those estimates.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80" w:top="121" w:right="439" w:bottom="1440" w:gutter="0" w:footer="0" w:header="0"/>
        </w:sectPr>
      </w:pPr>
    </w:p>
    <w:bookmarkStart w:id="223" w:name="page224"/>
    <w:bookmarkEnd w:id="223"/>
    <w:p>
      <w:pPr>
        <w:ind w:left="720"/>
        <w:spacing w:after="0"/>
        <w:rPr>
          <w:sz w:val="20"/>
          <w:szCs w:val="20"/>
          <w:color w:val="auto"/>
        </w:rPr>
      </w:pPr>
      <w:r>
        <w:rPr>
          <w:rFonts w:ascii="Arial" w:cs="Arial" w:eastAsia="Arial" w:hAnsi="Arial"/>
          <w:sz w:val="18"/>
          <w:szCs w:val="18"/>
          <w:i w:val="1"/>
          <w:iCs w:val="1"/>
          <w:color w:val="auto"/>
        </w:rPr>
        <w:t>Cash</w:t>
      </w:r>
    </w:p>
    <w:p>
      <w:pPr>
        <w:spacing w:after="0" w:line="11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Cash includes cash on hand and secured deposits. The Company maintains cash deposits with a major bank, which, from time- to-time, may exceed federally insured limits. The Company had no cash equivalents at December 31, 2019 and 2018.</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Trade Receivables</w:t>
      </w:r>
    </w:p>
    <w:p>
      <w:pPr>
        <w:spacing w:after="0" w:line="11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Trade receivables primarily consist of customer accounts receivable, which are recorded at the invoiced amount and generally do not bear interest. Past-due balances over 90 days and other higher risk amounts are reviewed individually for collectability. Balances that remain outstanding after reasonable collection efforts have been unsuccessful are written off through a charge to the valuation allowance and a credit to accounts receivable. Management reviews the allowance quarterly. The Company did not record a valuation allowance at December 31, 2019 or 2018.</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Inventories consist primarily of materials and supplies to be used in operations and are stated at the lower of cost or net realizable value. Costs for materials and supplies are determined primarily using the weighted-average cost method.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 xml:space="preserve">Property and equipment consists primarily of natural gas gathering assets, other pipeline assets, compressors and related facilities that are recorded at cost. Expenditures that extend the useful lives of assets are capitalized. Repairs, maintenance and renewals that do not extend the useful lives of assets are expensed as incurred. Leasehold improvements are amortized over the shorter of the useful life or lease term. Such assets are reviewed for impairment whenever events or changes in circumstances indicate that the carrying amount of an asset may not be recoverable. If the sum of the expected undiscounted future cash flows from the use of the asset and its eventual disposition is less than the carrying amount of the asset, an impairment assessment is performed and the excess of the book value over the fair value is recorded as an impairment loss. The Company recorded </w:t>
      </w:r>
      <w:r>
        <w:rPr>
          <w:rFonts w:ascii="Arial" w:cs="Arial" w:eastAsia="Arial" w:hAnsi="Arial"/>
          <w:sz w:val="18"/>
          <w:szCs w:val="18"/>
          <w:i w:val="1"/>
          <w:iCs w:val="1"/>
          <w:color w:val="auto"/>
        </w:rPr>
        <w:t xml:space="preserve">Impairment expense </w:t>
      </w:r>
      <w:r>
        <w:rPr>
          <w:rFonts w:ascii="Arial" w:cs="Arial" w:eastAsia="Arial" w:hAnsi="Arial"/>
          <w:sz w:val="18"/>
          <w:szCs w:val="18"/>
          <w:color w:val="auto"/>
        </w:rPr>
        <w:t>of $3.5 million, $30.4 million and $3.4 million for the years ended December 31, 2019, 2018, and 2017, respectively. See Note 5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details.</w:t>
      </w:r>
    </w:p>
    <w:p>
      <w:pPr>
        <w:spacing w:after="0" w:line="84" w:lineRule="exact"/>
        <w:rPr>
          <w:sz w:val="20"/>
          <w:szCs w:val="20"/>
          <w:color w:val="auto"/>
        </w:rPr>
      </w:pPr>
    </w:p>
    <w:p>
      <w:pPr>
        <w:jc w:val="both"/>
        <w:ind w:right="20" w:firstLine="751"/>
        <w:spacing w:after="0" w:line="277" w:lineRule="auto"/>
        <w:rPr>
          <w:sz w:val="20"/>
          <w:szCs w:val="20"/>
          <w:color w:val="auto"/>
        </w:rPr>
      </w:pPr>
      <w:r>
        <w:rPr>
          <w:rFonts w:ascii="Arial" w:cs="Arial" w:eastAsia="Arial" w:hAnsi="Arial"/>
          <w:sz w:val="18"/>
          <w:szCs w:val="18"/>
          <w:color w:val="auto"/>
        </w:rPr>
        <w:t>Depreciation is provided principally on a straight-line method over a period of 20 to 30 years, with the exception of miscellaneous equipment and vehicles, which are depreciated over a period ranging from 3 to 20 years.</w:t>
      </w:r>
    </w:p>
    <w:p>
      <w:pPr>
        <w:spacing w:after="0" w:line="62"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When items of property and equipment are sold or otherwise disposed of, any gains or losses are reported in the statements of operations. Gains on the disposal of property and equipment are recognized when they occur, which is generally at the time of closing. If a loss on disposal is expected, such losses are recognized when the assets are classified as held for sale.</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6"/>
          <w:szCs w:val="16"/>
          <w:color w:val="auto"/>
        </w:rPr>
        <w:t>An asset retirement obligation (“ARO”) is a legal obligation associated with the retirement of tangible long-lived assets that generally result from the acquisition, construction, development or normal operation of the asset. AROs are recorded at fair value in the period in which they are incurred, if a reasonable estimate of fair value can be made, and added to the carrying amount of the associated asset. This additional carrying amount is then depreciated over the life of the asset. The liability is determined using a credit adjusted risk-free interest rate and increases due to the passage of time based on the time value of money until the obligation is settled. The Company routinely reviews and reassesses its estimates to determine if adjustments to the value of AROs are required. The Company recognizes a liability of a conditional ARO as soon as the fair value of the liability can be reasonably estimated. A conditional ARO is defined as an unconditional legal obligation to perform an asset retirement activity in which the timing and/or method of settlement are conditional on a future event that may or may not be within the control of the entity. AROs have not been recognized for certain assets because the fair value cannot be reasonably estimated since the settlement dates of the obligations are indeterminate. Such obligations will be recognized in the period when sufficient information becomes available to estimate a range of potential settlement dates. In addition to the conditional AROs, the Company may have AROs related to certain gathering and compression assets as a result of environmental and other legal requirements. The Company is not required to perform such work until it permanently ceases operations of the respective assets. As the Company considers the operational life of these assets to be indeterminable, an associated ARO cannot be calculated and is not recorded.</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Deferred Contract Costs</w:t>
      </w:r>
    </w:p>
    <w:p>
      <w:pPr>
        <w:spacing w:after="0" w:line="117"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 xml:space="preserve">Deferred contract costs of $6.6 million represent the asset created by the fair value of the Ohio Gathering Option that was recorded as permanent equity. This cost is amortized over the term of the arrangement into </w:t>
      </w:r>
      <w:r>
        <w:rPr>
          <w:rFonts w:ascii="Arial" w:cs="Arial" w:eastAsia="Arial" w:hAnsi="Arial"/>
          <w:sz w:val="18"/>
          <w:szCs w:val="18"/>
          <w:i w:val="1"/>
          <w:iCs w:val="1"/>
          <w:color w:val="auto"/>
        </w:rPr>
        <w:t>Facility expenses</w:t>
      </w:r>
      <w:r>
        <w:rPr>
          <w:rFonts w:ascii="Arial" w:cs="Arial" w:eastAsia="Arial" w:hAnsi="Arial"/>
          <w:sz w:val="18"/>
          <w:szCs w:val="18"/>
          <w:color w:val="auto"/>
        </w:rPr>
        <w:t xml:space="preserve"> on the accompanying Statements of Operations. As of December 31, 2019 and 2018, the Company had recorded accumulated amortization of $3,296 and</w:t>
      </w:r>
    </w:p>
    <w:p>
      <w:pPr>
        <w:spacing w:after="0" w:line="3" w:lineRule="exact"/>
        <w:rPr>
          <w:sz w:val="20"/>
          <w:szCs w:val="20"/>
          <w:color w:val="auto"/>
        </w:rPr>
      </w:pPr>
    </w:p>
    <w:p>
      <w:pPr>
        <w:ind w:right="1360"/>
        <w:spacing w:after="0" w:line="260" w:lineRule="auto"/>
        <w:rPr>
          <w:sz w:val="20"/>
          <w:szCs w:val="20"/>
          <w:color w:val="auto"/>
        </w:rPr>
      </w:pPr>
      <w:r>
        <w:rPr>
          <w:rFonts w:ascii="Arial" w:cs="Arial" w:eastAsia="Arial" w:hAnsi="Arial"/>
          <w:sz w:val="18"/>
          <w:szCs w:val="18"/>
          <w:color w:val="auto"/>
        </w:rPr>
        <w:t>$2,861, respectively. As of December 31, 2019, the amortization of deferred contract costs is $435 for each of the next five years and $1,123 thereafter.</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Revenue is measured based on consideration specified in a contract with a customer. The Company recognizes revenue when it satisfies performance obligations by transferring control over a product or providing services to a customer. Performance obligations are determined based on the specific terms of the arrangements and the services offered and whether they are distinct.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40" w:top="179" w:right="439" w:bottom="1440" w:gutter="0" w:footer="0" w:header="0"/>
        </w:sectPr>
      </w:pPr>
    </w:p>
    <w:bookmarkStart w:id="224" w:name="page225"/>
    <w:bookmarkEnd w:id="224"/>
    <w:p>
      <w:pPr>
        <w:jc w:val="both"/>
        <w:ind w:firstLine="720"/>
        <w:spacing w:after="0" w:line="259" w:lineRule="auto"/>
        <w:rPr>
          <w:sz w:val="20"/>
          <w:szCs w:val="20"/>
          <w:color w:val="auto"/>
        </w:rPr>
      </w:pPr>
      <w:r>
        <w:rPr>
          <w:rFonts w:ascii="Arial" w:cs="Arial" w:eastAsia="Arial" w:hAnsi="Arial"/>
          <w:sz w:val="18"/>
          <w:szCs w:val="18"/>
          <w:color w:val="auto"/>
        </w:rPr>
        <w:t>The Company provides services under fee-based arrangements. Under fee-based arrangements, the Company receives a fee or fees for gathering and compression services provided to its customers. The revenue that the Company earns from these arrangements is generally directly related to the volume of natural gas and natural gas liquids that flows through the Company’s gathering system and is not directly dependent on commodity prices.</w:t>
      </w:r>
    </w:p>
    <w:p>
      <w:pPr>
        <w:spacing w:after="0" w:line="79"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 xml:space="preserve">These fee-based arrangements are reported as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on the Statements of Operations. Revenue is recognized over time when the performance obligation is satisfied as services are provided in a series. The Company has elected to use the output measure of progress to recognize revenue based on the units gathered. The transaction price is based on variable components which are primarily dependent on volumes. Variable consideration will generally not be estimated at contract inception as the transaction price is specifically allocable to the services provided each period end. In instances in which tiered pricing structures do not reflect our efforts to perform, the Company will estimate variable consideration at contract inception.</w:t>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 xml:space="preserve">Amounts billed to customers for electricity and other costs to perform services are included in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on the Statements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Customers generally pay monthly based on the services performed that month.</w:t>
      </w:r>
    </w:p>
    <w:p>
      <w:pPr>
        <w:spacing w:after="0" w:line="103"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Revenue and Expense Accruals</w:t>
      </w:r>
    </w:p>
    <w:p>
      <w:pPr>
        <w:spacing w:after="0" w:line="11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The Company routinely makes accruals based on estimates for both revenues and expenses due to the timing of compiling billing information, receiving certain third-party information and reconciling the Company’s records with those of third parties. The delayed information from third parties includes, among other things, actual volumes transported and other operating expenses. The Company makes accruals to reflect estimates for these items based on its internal records and information from third parties. Estimated accruals are adjusted when actual information is received from third parties and the Company’s internal records have been reconciled.</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The Company is treated as a partnership for tax purposes under the provisions of the Internal Revenue Code. Accordingly, the accompanying financial statements do not reflect a provision for federal income taxes since the Company’s results of operations and related credits and deductions will be passed through and taken into account by its members in computing their respective tax liabilities. The Company is, however, subject to an income tax at the Cadiz, Ohio jurisdictional level.</w:t>
      </w:r>
    </w:p>
    <w:p>
      <w:pPr>
        <w:spacing w:after="0" w:line="79"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Deferred income taxes are recognized for the future tax consequences attributable to differences between the financial statement carrying amounts of existing assets and liabilities and their respective tax basis and net operating loss carryforwards. Deferred tax assets and liabilities are measured using enacted tax rates applied to taxable income in the years in which those temporary differences are expected to be recovered or settled. The effect of any tax rate change on deferred taxes is recognized as tax expense (benefit) from continuing operations in the period that includes the enactment date of the tax rate change. Realizability of deferred tax assets is assessed and, if not more likely than not, a valuation allowance is recorded to reflect the deferred tax assets at net realizable value as determined by management. All deferred tax balances are classified as long-term in the accompanying Balance Sheets.</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Environmental Costs</w:t>
      </w:r>
    </w:p>
    <w:p>
      <w:pPr>
        <w:spacing w:after="0" w:line="11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Environmental expenditures are capitalized if the costs mitigate or prevent future contamination or if the costs improve environmental safety or efficiency of the existing assets. The Company recognizes remediation costs and penalties when the responsibility to remediate is probable and the amount of associated costs can be reasonably estimated. The timing of remediation accruals coincides with completion of a feasibility study or the commitment to a formal plan of action. Remediation liabilities are accrued based on estimates of known environmental exposure.</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Management believes the carrying amounts of financial instruments, including cash, trade receivables, affiliate receivables and payables, other current assets, accounts payable, and accrued liabilities approximate fair value because of the short-term maturity of these instruments.</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Accounting Standards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Recently Adopted ASU</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2016-02, Leases</w:t>
      </w:r>
    </w:p>
    <w:p>
      <w:pPr>
        <w:spacing w:after="0" w:line="9"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7"/>
          <w:szCs w:val="17"/>
          <w:color w:val="auto"/>
        </w:rPr>
        <w:t>In February 2016, the Federal Accounting Standards Board ("FASB") issued an Accounting Standards Update ("ASU"), which created Accounting Standards Codification Topic 842 ("ASC 842"), Leases. The Company adopted ASC 842, as of January 1, 2019, electing the transition method which permits entities to adopt the provisions of the standard using the modified retrospective approach without adjusting comparative periods. The Company also elected the practical expedients permitted under the transition guidance within the new standard, which among other things allowed us to grandfather the historical accounting conclusions until a reassessment event is present. The Company also elected the practical expedient to not recognize short-term leases on the balance sheet, the practical expedient related to right of way permits and land easements which allows the Company to carry forward our accounting treatment for those existing agreements, and the practical expedient to combine lease and non-lease components for the majority of our underlying classes of assets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40" w:top="179" w:right="439" w:bottom="1440" w:gutter="0" w:footer="0" w:header="0"/>
        </w:sectPr>
      </w:pPr>
    </w:p>
    <w:bookmarkStart w:id="225" w:name="page226"/>
    <w:bookmarkEnd w:id="225"/>
    <w:p>
      <w:pPr>
        <w:jc w:val="both"/>
        <w:ind w:left="20" w:right="20"/>
        <w:spacing w:after="0" w:line="263" w:lineRule="auto"/>
        <w:rPr>
          <w:sz w:val="20"/>
          <w:szCs w:val="20"/>
          <w:color w:val="auto"/>
        </w:rPr>
      </w:pPr>
      <w:r>
        <w:rPr>
          <w:rFonts w:ascii="Arial" w:cs="Arial" w:eastAsia="Arial" w:hAnsi="Arial"/>
          <w:sz w:val="18"/>
          <w:szCs w:val="18"/>
          <w:color w:val="auto"/>
        </w:rPr>
        <w:t>except for our third-party contractor service and equipment agreements in which the Company is the lessee. The Company did not elect the practical expedient to combine lease and non-lease components for arrangements which the Company is the lessor. In instances where the practical expedient was not elected, lease and non-lease consideration is allocated based on relative standalone selling price.</w:t>
      </w:r>
    </w:p>
    <w:p>
      <w:pPr>
        <w:spacing w:after="0" w:line="76" w:lineRule="exact"/>
        <w:rPr>
          <w:sz w:val="20"/>
          <w:szCs w:val="20"/>
          <w:color w:val="auto"/>
        </w:rPr>
      </w:pPr>
    </w:p>
    <w:p>
      <w:pPr>
        <w:jc w:val="both"/>
        <w:ind w:left="20" w:firstLine="720"/>
        <w:spacing w:after="0" w:line="271" w:lineRule="auto"/>
        <w:rPr>
          <w:sz w:val="20"/>
          <w:szCs w:val="20"/>
          <w:color w:val="auto"/>
        </w:rPr>
      </w:pPr>
      <w:r>
        <w:rPr>
          <w:rFonts w:ascii="Arial" w:cs="Arial" w:eastAsia="Arial" w:hAnsi="Arial"/>
          <w:sz w:val="17"/>
          <w:szCs w:val="17"/>
          <w:color w:val="auto"/>
        </w:rPr>
        <w:t>Right of use ("ROU") assets represent our right to use an underlying assets in which the Company obtains substantially all of the economic benefits and the right to direct the use of the asset during the lease term while lease liabilities represent the Company's obligation to make lease payments arising from the lease. Operating ROU assets and lease liabilities are recognized at commencement date based on the present value of lease payments over the lease term. The Company recognizes ROU assets and lease liabilities on the balance sheet for leases with a lease term of greater than one year. Payments that are not fixed at the commencement of the lease are considered variable and are excluded from the ROU assets and lease liability calculations. In the measurement of the Company's ROU assets and liabilities, the fixed lease payments in the agreement are discounted using a secured incremental borrowing rate for a term similar to the duration of the lease, as the Company's leases do not provide implicit rates. Operating lease expense is recognized on a straight-line basis over the lease term.</w:t>
      </w:r>
    </w:p>
    <w:p>
      <w:pPr>
        <w:spacing w:after="0" w:line="7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standard did not materially impact the Company's balance sheets, statements of income, cash flows or equity as a result of adoption.</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ASU 2016-13, Credit Losses - Measurement of Credit Losses on Financial Instruments</w:t>
      </w:r>
    </w:p>
    <w:p>
      <w:pPr>
        <w:spacing w:after="0" w:line="117" w:lineRule="exact"/>
        <w:rPr>
          <w:sz w:val="20"/>
          <w:szCs w:val="20"/>
          <w:color w:val="auto"/>
        </w:rPr>
      </w:pPr>
    </w:p>
    <w:p>
      <w:pPr>
        <w:jc w:val="both"/>
        <w:ind w:left="20" w:firstLine="720"/>
        <w:spacing w:after="0" w:line="275" w:lineRule="auto"/>
        <w:rPr>
          <w:sz w:val="20"/>
          <w:szCs w:val="20"/>
          <w:color w:val="auto"/>
        </w:rPr>
      </w:pPr>
      <w:r>
        <w:rPr>
          <w:rFonts w:ascii="Arial" w:cs="Arial" w:eastAsia="Arial" w:hAnsi="Arial"/>
          <w:sz w:val="17"/>
          <w:szCs w:val="17"/>
          <w:color w:val="auto"/>
        </w:rPr>
        <w:t>In June 2016, the FASB issued an ASU related to the accounting for credit losses on certain financial instruments. The guidance requires that for most financial assets, losses be based on an expected loss approach which includes estimates of losses over the life of exposure that considers historical, current and forecasted information. Expanded disclosures related to the methods used to estimate the losses as well as a specific disaggregation of balances for financial assets are also required. The Company plans to early adopt the standard for the fiscal year ended December 31, 2020. The application of this ASU is not expected to have a material impact on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Affiliate Transactions</w:t>
      </w:r>
    </w:p>
    <w:p>
      <w:pPr>
        <w:spacing w:after="0" w:line="229" w:lineRule="exact"/>
        <w:rPr>
          <w:sz w:val="20"/>
          <w:szCs w:val="20"/>
          <w:color w:val="auto"/>
        </w:rPr>
      </w:pPr>
    </w:p>
    <w:p>
      <w:pPr>
        <w:jc w:val="both"/>
        <w:ind w:left="20" w:firstLine="720"/>
        <w:spacing w:after="0" w:line="257" w:lineRule="auto"/>
        <w:rPr>
          <w:sz w:val="20"/>
          <w:szCs w:val="20"/>
          <w:color w:val="auto"/>
        </w:rPr>
      </w:pPr>
      <w:r>
        <w:rPr>
          <w:rFonts w:ascii="Arial" w:cs="Arial" w:eastAsia="Arial" w:hAnsi="Arial"/>
          <w:sz w:val="18"/>
          <w:szCs w:val="18"/>
          <w:color w:val="auto"/>
        </w:rPr>
        <w:t>The Company has no employees. Operating, maintenance and general and administrative services, including capitalizable engineering and construction management services, are provided to the Company under certain agreements with MarkWest Utica Operating or its affiliates. In addition, the Company has a short-term office lease agreement with an affiliate. From time to time, the Company may also sell to or purchase from affiliates, assets and inventory at the lesser of average unit cost or net realizable value. The Company has incurred the following amounts with affiliates related to the various agreements:</w:t>
      </w:r>
    </w:p>
    <w:p>
      <w:pPr>
        <w:spacing w:after="0" w:line="130"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Facility expenses</w:t>
            </w: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9"/>
        </w:trPr>
        <w:tc>
          <w:tcPr>
            <w:tcW w:w="5420" w:type="dxa"/>
            <w:vAlign w:val="bottom"/>
          </w:tcPr>
          <w:p>
            <w:pPr>
              <w:ind w:left="120"/>
              <w:spacing w:after="0"/>
              <w:rPr>
                <w:sz w:val="20"/>
                <w:szCs w:val="20"/>
                <w:color w:val="auto"/>
              </w:rPr>
            </w:pPr>
            <w:r>
              <w:rPr>
                <w:rFonts w:ascii="Arial" w:cs="Arial" w:eastAsia="Arial" w:hAnsi="Arial"/>
                <w:sz w:val="18"/>
                <w:szCs w:val="18"/>
                <w:color w:val="auto"/>
              </w:rPr>
              <w:t>Labor and benefits,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12,377</w:t>
            </w:r>
          </w:p>
        </w:tc>
        <w:tc>
          <w:tcPr>
            <w:tcW w:w="14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12,601</w:t>
            </w:r>
          </w:p>
        </w:tc>
        <w:tc>
          <w:tcPr>
            <w:tcW w:w="16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Rent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38"/>
        </w:trPr>
        <w:tc>
          <w:tcPr>
            <w:tcW w:w="542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Inventories sold to affiliates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Inventories purchased from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64"/>
        </w:trPr>
        <w:tc>
          <w:tcPr>
            <w:tcW w:w="54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Capitalized engineering and construction management fees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Capitalized labor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Property and equipment sold to affiliates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17,386</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Property and equipment purchased from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Customers and Concentration of Credit Risk</w:t>
      </w:r>
    </w:p>
    <w:p>
      <w:pPr>
        <w:spacing w:after="0" w:line="229" w:lineRule="exact"/>
        <w:rPr>
          <w:sz w:val="20"/>
          <w:szCs w:val="20"/>
          <w:color w:val="auto"/>
        </w:rPr>
      </w:pPr>
    </w:p>
    <w:p>
      <w:pPr>
        <w:ind w:left="20" w:right="520" w:firstLine="727"/>
        <w:spacing w:after="0" w:line="308" w:lineRule="auto"/>
        <w:rPr>
          <w:sz w:val="20"/>
          <w:szCs w:val="20"/>
          <w:color w:val="auto"/>
        </w:rPr>
      </w:pPr>
      <w:r>
        <w:rPr>
          <w:rFonts w:ascii="Arial" w:cs="Arial" w:eastAsia="Arial" w:hAnsi="Arial"/>
          <w:sz w:val="17"/>
          <w:szCs w:val="17"/>
          <w:color w:val="auto"/>
        </w:rPr>
        <w:t>Financial instruments that potentially expose the Company to concentration of credit risk consist primarily of trade receivables, which are generally unsecured. The Company had certain customers whose trade receivable balances individually represented 10% or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20" w:top="179" w:right="439" w:bottom="1440" w:gutter="0" w:footer="0" w:header="0"/>
        </w:sectPr>
      </w:pPr>
    </w:p>
    <w:bookmarkStart w:id="226" w:name="page227"/>
    <w:bookmarkEnd w:id="226"/>
    <w:p>
      <w:pPr>
        <w:ind w:left="20"/>
        <w:spacing w:after="0"/>
        <w:rPr>
          <w:sz w:val="20"/>
          <w:szCs w:val="20"/>
          <w:color w:val="auto"/>
        </w:rPr>
      </w:pPr>
      <w:r>
        <w:rPr>
          <w:rFonts w:ascii="Arial" w:cs="Arial" w:eastAsia="Arial" w:hAnsi="Arial"/>
          <w:sz w:val="16"/>
          <w:szCs w:val="16"/>
          <w:color w:val="auto"/>
        </w:rPr>
        <w:t>more of the Company’s total trade receivables, or whose revenue individually represented 10% or more of the Company’s total revenue, as follows:</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6"/>
              </w:rPr>
              <w:t>Trade Receivables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Revenue</w:t>
            </w:r>
          </w:p>
        </w:tc>
        <w:tc>
          <w:tcPr>
            <w:tcW w:w="1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4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w w:val="88"/>
              </w:rPr>
              <w:t>As of December 31,</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86"/>
              </w:rPr>
              <w:t>Year Ended December 31,</w:t>
            </w:r>
          </w:p>
        </w:tc>
        <w:tc>
          <w:tcPr>
            <w:tcW w:w="1120" w:type="dxa"/>
            <w:vAlign w:val="bottom"/>
            <w:tcBorders>
              <w:bottom w:val="single" w:sz="8" w:color="auto"/>
            </w:tcBorders>
          </w:tcPr>
          <w:p>
            <w:pPr>
              <w:spacing w:after="0"/>
              <w:rPr>
                <w:sz w:val="20"/>
                <w:szCs w:val="20"/>
                <w:color w:val="auto"/>
              </w:rPr>
            </w:pPr>
          </w:p>
        </w:tc>
      </w:tr>
      <w:tr>
        <w:trPr>
          <w:trHeight w:val="209"/>
        </w:trPr>
        <w:tc>
          <w:tcPr>
            <w:tcW w:w="190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Customer A</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w:t>
            </w: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Property and equipment with associated accumulated depreciation is shown below:</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December 31, 2018</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Gas gathering and compression equipment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1,430,969</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1,325,940</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Pipeline right of way</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174,196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165,530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18,937</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57,028</w:t>
            </w:r>
          </w:p>
        </w:tc>
      </w:tr>
      <w:tr>
        <w:trPr>
          <w:trHeight w:val="222"/>
        </w:trPr>
        <w:tc>
          <w:tcPr>
            <w:tcW w:w="554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1,626,856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1,551,252</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353,081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292,177</w:t>
            </w:r>
          </w:p>
        </w:tc>
      </w:tr>
      <w:tr>
        <w:trPr>
          <w:trHeight w:val="223"/>
        </w:trPr>
        <w:tc>
          <w:tcPr>
            <w:tcW w:w="55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1,273,775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1,259,075</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firstLine="720"/>
        <w:spacing w:after="0" w:line="296" w:lineRule="auto"/>
        <w:rPr>
          <w:sz w:val="20"/>
          <w:szCs w:val="20"/>
          <w:color w:val="auto"/>
        </w:rPr>
      </w:pPr>
      <w:r>
        <w:rPr>
          <w:rFonts w:ascii="Arial" w:cs="Arial" w:eastAsia="Arial" w:hAnsi="Arial"/>
          <w:sz w:val="16"/>
          <w:szCs w:val="16"/>
          <w:color w:val="auto"/>
        </w:rPr>
        <w:t xml:space="preserve">Depreciation expense of $62 million, $58.4 million, and $68.2 million is included in </w:t>
      </w:r>
      <w:r>
        <w:rPr>
          <w:rFonts w:ascii="Arial" w:cs="Arial" w:eastAsia="Arial" w:hAnsi="Arial"/>
          <w:sz w:val="16"/>
          <w:szCs w:val="16"/>
          <w:i w:val="1"/>
          <w:iCs w:val="1"/>
          <w:color w:val="auto"/>
        </w:rPr>
        <w:t>Depreciation and accretion</w:t>
      </w:r>
      <w:r>
        <w:rPr>
          <w:rFonts w:ascii="Arial" w:cs="Arial" w:eastAsia="Arial" w:hAnsi="Arial"/>
          <w:sz w:val="16"/>
          <w:szCs w:val="16"/>
          <w:color w:val="auto"/>
        </w:rPr>
        <w:t xml:space="preserve"> on the Statements of Operations for the years ended December 31, 2019, 2018, and 2017, respectively. As part of the Company's ongoing review of long- lived assets, the Company recorded an impairment $30.4 million in 2018 related to several compressor units and other miscellaneous construction in process ("CIP") inventory that were determined to not have a future use. The Company compared the carrying value of the compressor units and CIP inventory items to the estimated net realizable value to determine the impairment expense that was recorded for the years ended December 31, 2018.</w:t>
      </w:r>
    </w:p>
    <w:p>
      <w:pPr>
        <w:spacing w:after="0" w:line="53" w:lineRule="exact"/>
        <w:rPr>
          <w:sz w:val="20"/>
          <w:szCs w:val="20"/>
          <w:color w:val="auto"/>
        </w:rPr>
      </w:pPr>
    </w:p>
    <w:p>
      <w:pPr>
        <w:jc w:val="both"/>
        <w:ind w:left="20" w:firstLine="720"/>
        <w:spacing w:after="0" w:line="279" w:lineRule="auto"/>
        <w:rPr>
          <w:sz w:val="20"/>
          <w:szCs w:val="20"/>
          <w:color w:val="auto"/>
        </w:rPr>
      </w:pPr>
      <w:r>
        <w:rPr>
          <w:rFonts w:ascii="Arial" w:cs="Arial" w:eastAsia="Arial" w:hAnsi="Arial"/>
          <w:sz w:val="17"/>
          <w:szCs w:val="17"/>
          <w:color w:val="auto"/>
        </w:rPr>
        <w:t>The Company recorded impairments of $3.5 million during 2019 and $3.4 million during 2017 related to CIP inventory from canceled projects that were determined to not have a future use. The Company also identified several assets with curtailed useful lives in which accelerated depreciation was recorded related to certain compressor units, dehydration units and right of way assets. The impact of this change resulted in increased depreciation expense and a reduction of net income of $11.8 million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Retirement Obligations</w:t>
      </w:r>
    </w:p>
    <w:p>
      <w:pPr>
        <w:spacing w:after="0" w:line="229" w:lineRule="exact"/>
        <w:rPr>
          <w:sz w:val="20"/>
          <w:szCs w:val="20"/>
          <w:color w:val="auto"/>
        </w:rPr>
      </w:pPr>
    </w:p>
    <w:p>
      <w:pPr>
        <w:jc w:val="both"/>
        <w:ind w:left="20" w:firstLine="720"/>
        <w:spacing w:after="0" w:line="263" w:lineRule="auto"/>
        <w:rPr>
          <w:sz w:val="20"/>
          <w:szCs w:val="20"/>
          <w:color w:val="auto"/>
        </w:rPr>
      </w:pPr>
      <w:r>
        <w:rPr>
          <w:rFonts w:ascii="Arial" w:cs="Arial" w:eastAsia="Arial" w:hAnsi="Arial"/>
          <w:sz w:val="18"/>
          <w:szCs w:val="18"/>
          <w:color w:val="auto"/>
        </w:rPr>
        <w:t>The Company’s assets subject to AROs are primarily gas gathering pipelines and compression equipment. The Company also has land leases that require the Company to return the land to its original condition upon termination of the lease. The Company reviews current laws and regulations governing obligations associated with asset retirements and leases.</w:t>
      </w:r>
    </w:p>
    <w:p>
      <w:pPr>
        <w:spacing w:after="0" w:line="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is a reconciliation of the changes in the ARO liability for the years ended:</w:t>
      </w:r>
    </w:p>
    <w:p>
      <w:pPr>
        <w:spacing w:after="0" w:line="289"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140" w:type="dxa"/>
            <w:vAlign w:val="bottom"/>
            <w:vMerge w:val="restart"/>
          </w:tcPr>
          <w:p>
            <w:pPr>
              <w:spacing w:after="0"/>
              <w:rPr>
                <w:sz w:val="20"/>
                <w:szCs w:val="20"/>
                <w:color w:val="auto"/>
              </w:rPr>
            </w:pPr>
            <w:r>
              <w:rPr>
                <w:rFonts w:ascii="Arial" w:cs="Arial" w:eastAsia="Arial" w:hAnsi="Arial"/>
                <w:sz w:val="18"/>
                <w:szCs w:val="18"/>
                <w:color w:val="auto"/>
              </w:rPr>
              <w:t>Beginning asset retirement obligations</w:t>
            </w:r>
          </w:p>
        </w:tc>
        <w:tc>
          <w:tcPr>
            <w:tcW w:w="24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Liabilities incurred</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4"/>
        </w:trPr>
        <w:tc>
          <w:tcPr>
            <w:tcW w:w="514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asset retirement obligations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 December 31, 2019 and 2018, there were no assets legally restricted for purposes of settling AROs.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20" w:top="179" w:right="4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jc w:val="both"/>
        <w:ind w:left="20" w:firstLine="720"/>
        <w:spacing w:after="0" w:line="263" w:lineRule="auto"/>
        <w:rPr>
          <w:sz w:val="20"/>
          <w:szCs w:val="20"/>
          <w:color w:val="auto"/>
        </w:rPr>
      </w:pPr>
      <w:r>
        <w:rPr>
          <w:rFonts w:ascii="Arial" w:cs="Arial" w:eastAsia="Arial" w:hAnsi="Arial"/>
          <w:sz w:val="18"/>
          <w:szCs w:val="18"/>
          <w:color w:val="auto"/>
        </w:rPr>
        <w:t>The Company is subject to federal, state and local laws and regulations relating to the environment. These laws generally provide for control of pollutants released into the environment and require responsible parties to undertake remediation of hazardous waste disposal sites. Penalties may be imposed for non-compliance.</w:t>
      </w:r>
    </w:p>
    <w:p>
      <w:pPr>
        <w:spacing w:after="0" w:line="76" w:lineRule="exact"/>
        <w:rPr>
          <w:sz w:val="20"/>
          <w:szCs w:val="20"/>
          <w:color w:val="auto"/>
        </w:rPr>
      </w:pPr>
    </w:p>
    <w:p>
      <w:pPr>
        <w:jc w:val="both"/>
        <w:ind w:left="20" w:firstLine="720"/>
        <w:spacing w:after="0" w:line="273" w:lineRule="auto"/>
        <w:rPr>
          <w:sz w:val="20"/>
          <w:szCs w:val="20"/>
          <w:color w:val="auto"/>
        </w:rPr>
      </w:pPr>
      <w:r>
        <w:rPr>
          <w:rFonts w:ascii="Arial" w:cs="Arial" w:eastAsia="Arial" w:hAnsi="Arial"/>
          <w:sz w:val="17"/>
          <w:szCs w:val="17"/>
          <w:color w:val="auto"/>
        </w:rPr>
        <w:t>In 2015, representatives from the United States Environmental Protection Agency (“EPA”) and the United States Department of Justice conducted a raid on a pipeline launcher/receiver site owned by an affiliate of MarkWest Utica, which site was utilized for pipeline maintenance operations. In 2018, the Company, together with other MarkWest affiliates, entered into a Consent Decree with the EPA and the Pennsylvania Department of Environmental Protection by which it agreed to pay penalties and undertake supplemental environmental projects including monitoring and emission reduction projects at certain facilities. The Company paid its portion of the penalty in 2018 which was approximately $240 and has accrued $500 as of December 31, 2019 and 2018, respectively, for costs related to supplemental environmental projects.</w:t>
      </w:r>
    </w:p>
    <w:p>
      <w:pPr>
        <w:spacing w:after="0" w:line="7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jc w:val="both"/>
        <w:ind w:left="20" w:right="20" w:firstLine="720"/>
        <w:spacing w:after="0" w:line="273" w:lineRule="auto"/>
        <w:rPr>
          <w:sz w:val="20"/>
          <w:szCs w:val="20"/>
          <w:color w:val="auto"/>
        </w:rPr>
      </w:pPr>
      <w:r>
        <w:rPr>
          <w:rFonts w:ascii="Arial" w:cs="Arial" w:eastAsia="Arial" w:hAnsi="Arial"/>
          <w:sz w:val="17"/>
          <w:szCs w:val="17"/>
          <w:color w:val="auto"/>
        </w:rPr>
        <w:t>During 2018, the Company was named in a lawsuit filed by Oxford Mining Company ("Oxford") alleging that their coal mining rights are superior to the Company's pipeline right of way through Oxford's Shugert North mine in Belmont County, Ohio. Following discovery, the trial court granted Oxford's motion for summary judgment in part, finding that Oxford has priority over the Company's right of way, and finding that the Company's pipeline constituted a trespass. On the Company's motion, the trial court dismissed Oxford's willful trespass damage claim and held that the jury would only be permitted to consider Oxford's lost profits. In January 2019, the jury returned a verdict in the amount of $5.5 million. The Company intends to appeal this determination. The $5.5 million has been accrued for at December 31, 2019 and 2018, respectively.</w:t>
      </w:r>
    </w:p>
    <w:p>
      <w:pPr>
        <w:spacing w:after="0" w:line="70" w:lineRule="exact"/>
        <w:rPr>
          <w:sz w:val="20"/>
          <w:szCs w:val="20"/>
          <w:color w:val="auto"/>
        </w:rPr>
      </w:pPr>
    </w:p>
    <w:p>
      <w:pPr>
        <w:jc w:val="both"/>
        <w:ind w:left="20" w:firstLine="720"/>
        <w:spacing w:after="0" w:line="288" w:lineRule="auto"/>
        <w:rPr>
          <w:sz w:val="20"/>
          <w:szCs w:val="20"/>
          <w:color w:val="auto"/>
        </w:rPr>
      </w:pPr>
      <w:r>
        <w:rPr>
          <w:rFonts w:ascii="Arial" w:cs="Arial" w:eastAsia="Arial" w:hAnsi="Arial"/>
          <w:sz w:val="16"/>
          <w:szCs w:val="16"/>
          <w:color w:val="auto"/>
        </w:rPr>
        <w:t xml:space="preserve">The Company is also subject to a variety of risks and disputes, and is a party to various legal proceedings in the normal course of its business. The Company maintains insurance policies with coverage and deductibles that it believes are reasonable and prudent. However, the Company cannot assure that the insurance companies will promptly honor their policy obligations, or that the coverage or levels of insurance will be adequate to protect the Company from all material expenses related to future claims for property loss or business interruption to the Company, or for </w:t>
      </w:r>
      <w:r>
        <w:rPr>
          <w:sz w:val="1"/>
          <w:szCs w:val="1"/>
          <w:color w:val="auto"/>
        </w:rPr>
        <w:drawing>
          <wp:inline distT="0" distB="0" distL="0" distR="0">
            <wp:extent cx="26035" cy="1028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6"/>
          <w:szCs w:val="16"/>
          <w:color w:val="auto"/>
        </w:rPr>
        <w:t>party claims of personal injury and property damage, or that the coverage or levels of insurance it currently has will be available in the future at economical prices. While it is not possible to predict the outcome of the legal actions with certainty, management is of the opinion that appropriate provisions and accruals for potential losses associated with all legal actions have been made in the financial statements and that none of these actions, either individually or in the aggregate, will have a material adverse effect on the Company’s financial condition, liquidity or results of operations.</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Other Contractual Obligations</w:t>
      </w:r>
    </w:p>
    <w:p>
      <w:pPr>
        <w:spacing w:after="0" w:line="117" w:lineRule="exact"/>
        <w:rPr>
          <w:sz w:val="20"/>
          <w:szCs w:val="20"/>
          <w:color w:val="auto"/>
        </w:rPr>
      </w:pPr>
    </w:p>
    <w:p>
      <w:pPr>
        <w:jc w:val="both"/>
        <w:ind w:left="20" w:firstLine="774"/>
        <w:spacing w:after="0" w:line="277" w:lineRule="auto"/>
        <w:rPr>
          <w:sz w:val="20"/>
          <w:szCs w:val="20"/>
          <w:color w:val="auto"/>
        </w:rPr>
      </w:pPr>
      <w:r>
        <w:rPr>
          <w:rFonts w:ascii="Arial" w:cs="Arial" w:eastAsia="Arial" w:hAnsi="Arial"/>
          <w:sz w:val="18"/>
          <w:szCs w:val="18"/>
          <w:color w:val="auto"/>
        </w:rPr>
        <w:t>The Company has contractual commitments to acquire property and equipment totaling $1.8 million at December 31, 2019, which is committed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29" w:lineRule="exact"/>
        <w:rPr>
          <w:sz w:val="20"/>
          <w:szCs w:val="20"/>
          <w:color w:val="auto"/>
        </w:rPr>
      </w:pPr>
    </w:p>
    <w:p>
      <w:pPr>
        <w:jc w:val="both"/>
        <w:ind w:left="20" w:firstLine="784"/>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6, 2020, the date the financial statements were issued, and has determined that there are no material subsequent events that required additional disclosure.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040"/>
      </w:cols>
      <w:pgMar w:left="4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
      <w:numFmt w:val="bullet"/>
      <w:start w:val="1"/>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
      <w:numFmt w:val="bullet"/>
      <w:start w:val="1"/>
    </w:lvl>
  </w:abstractNum>
  <w:abstractNum w:abstractNumId="11">
    <w:nsid w:val="53B0A9E"/>
    <w:multiLevelType w:val="hybridMultilevel"/>
    <w:lvl w:ilvl="0">
      <w:lvlJc w:val="left"/>
      <w:lvlText w:val="•"/>
      <w:numFmt w:val="bullet"/>
      <w:start w:val="1"/>
    </w:lvl>
  </w:abstractNum>
  <w:abstractNum w:abstractNumId="12">
    <w:nsid w:val="34FD6B4F"/>
    <w:multiLevelType w:val="hybridMultilevel"/>
    <w:lvl w:ilvl="0">
      <w:lvlJc w:val="left"/>
      <w:lvlText w:val="•"/>
      <w:numFmt w:val="bullet"/>
      <w:start w:val="1"/>
    </w:lvl>
    <w:lvl w:ilvl="1">
      <w:lvlJc w:val="left"/>
      <w:lvlText w:val="•"/>
      <w:numFmt w:val="bullet"/>
      <w:start w:val="1"/>
    </w:lvl>
  </w:abstractNum>
  <w:abstractNum w:abstractNumId="13">
    <w:nsid w:val="5915FF32"/>
    <w:multiLevelType w:val="hybridMultilevel"/>
    <w:lvl w:ilvl="0">
      <w:lvlJc w:val="left"/>
      <w:lvlText w:val="•"/>
      <w:numFmt w:val="bullet"/>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1)"/>
      <w:numFmt w:val="decimal"/>
      <w:start w:val="1"/>
    </w:lvl>
  </w:abstractNum>
  <w:abstractNum w:abstractNumId="18">
    <w:nsid w:val="4DF72E4E"/>
    <w:multiLevelType w:val="hybridMultilevel"/>
    <w:lvl w:ilvl="0">
      <w:lvlJc w:val="left"/>
      <w:lvlText w:val="(%1)"/>
      <w:numFmt w:val="lowerRoman"/>
      <w:start w:val="3"/>
    </w:lvl>
  </w:abstractNum>
  <w:abstractNum w:abstractNumId="19">
    <w:nsid w:val="5046B5A9"/>
    <w:multiLevelType w:val="hybridMultilevel"/>
    <w:lvl w:ilvl="0">
      <w:lvlJc w:val="left"/>
      <w:lvlText w:val="(%1)"/>
      <w:numFmt w:val="decimal"/>
      <w:start w:val="1"/>
    </w:lvl>
  </w:abstractNum>
  <w:abstractNum w:abstractNumId="20">
    <w:nsid w:val="5D888A08"/>
    <w:multiLevelType w:val="hybridMultilevel"/>
    <w:lvl w:ilvl="0">
      <w:lvlJc w:val="left"/>
      <w:lvlText w:val="(%1)"/>
      <w:numFmt w:val="decimal"/>
      <w:start w:val="1"/>
    </w:lvl>
  </w:abstractNum>
  <w:abstractNum w:abstractNumId="21">
    <w:nsid w:val="2A082C70"/>
    <w:multiLevelType w:val="hybridMultilevel"/>
    <w:lvl w:ilvl="0">
      <w:lvlJc w:val="left"/>
      <w:lvlText w:val="(%1)"/>
      <w:numFmt w:val="decimal"/>
      <w:start w:val="1"/>
    </w:lvl>
  </w:abstractNum>
  <w:abstractNum w:abstractNumId="22">
    <w:nsid w:val="5EC6AFD4"/>
    <w:multiLevelType w:val="hybridMultilevel"/>
    <w:lvl w:ilvl="0">
      <w:lvlJc w:val="left"/>
      <w:lvlText w:val="(%1)"/>
      <w:numFmt w:val="lowerRoman"/>
      <w:start w:val="1"/>
    </w:lvl>
  </w:abstractNum>
  <w:abstractNum w:abstractNumId="23">
    <w:nsid w:val="19E21BB2"/>
    <w:multiLevelType w:val="hybridMultilevel"/>
    <w:lvl w:ilvl="0">
      <w:lvlJc w:val="left"/>
      <w:lvlText w:val="(%1)"/>
      <w:numFmt w:val="decimal"/>
      <w:start w:val="1"/>
    </w:lvl>
  </w:abstractNum>
  <w:abstractNum w:abstractNumId="24">
    <w:nsid w:val="75E0858A"/>
    <w:multiLevelType w:val="hybridMultilevel"/>
    <w:lvl w:ilvl="0">
      <w:lvlJc w:val="left"/>
      <w:lvlText w:val="(%1)"/>
      <w:numFmt w:val="decimal"/>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
      <w:numFmt w:val="bullet"/>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
      <w:numFmt w:val="bullet"/>
      <w:start w:val="1"/>
    </w:lvl>
  </w:abstractNum>
  <w:abstractNum w:abstractNumId="39">
    <w:nsid w:val="24F6AB8E"/>
    <w:multiLevelType w:val="hybridMultilevel"/>
    <w:lvl w:ilvl="0">
      <w:lvlJc w:val="left"/>
      <w:lvlText w:val="•"/>
      <w:numFmt w:val="bullet"/>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
      <w:numFmt w:val="bullet"/>
      <w:start w:val="1"/>
    </w:lvl>
    <w:lvl w:ilvl="1">
      <w:lvlJc w:val="left"/>
      <w:lvlText w:val="%2."/>
      <w:numFmt w:val="lowerRoman"/>
      <w:start w:val="1"/>
    </w:lvl>
  </w:abstractNum>
  <w:abstractNum w:abstractNumId="43">
    <w:nsid w:val="1849C29B"/>
    <w:multiLevelType w:val="hybridMultilevel"/>
    <w:lvl w:ilvl="0">
      <w:lvlJc w:val="left"/>
      <w:lvlText w:val="•"/>
      <w:numFmt w:val="bullet"/>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
      <w:numFmt w:val="bullet"/>
      <w:start w:val="1"/>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
      <w:numFmt w:val="bullet"/>
      <w:start w:val="1"/>
    </w:lvl>
  </w:abstractNum>
  <w:abstractNum w:abstractNumId="48">
    <w:nsid w:val="1816F8C4"/>
    <w:multiLevelType w:val="hybridMultilevel"/>
    <w:lvl w:ilvl="0">
      <w:lvlJc w:val="left"/>
      <w:lvlText w:val="-"/>
      <w:numFmt w:val="bullet"/>
      <w:start w:val="1"/>
    </w:lvl>
  </w:abstractNum>
  <w:abstractNum w:abstractNumId="49">
    <w:nsid w:val="37DF2233"/>
    <w:multiLevelType w:val="hybridMultilevel"/>
    <w:lvl w:ilvl="0">
      <w:lvlJc w:val="left"/>
      <w:lvlText w:val="•"/>
      <w:numFmt w:val="bullet"/>
      <w:start w:val="1"/>
    </w:lvl>
  </w:abstractNum>
  <w:abstractNum w:abstractNumId="50">
    <w:nsid w:val="7AB49DAF"/>
    <w:multiLevelType w:val="hybridMultilevel"/>
    <w:lvl w:ilvl="0">
      <w:lvlJc w:val="left"/>
      <w:lvlText w:val="(%1)"/>
      <w:numFmt w:val="decimal"/>
      <w:start w:val="1"/>
    </w:lvl>
  </w:abstractNum>
  <w:abstractNum w:abstractNumId="51">
    <w:nsid w:val="759F82CD"/>
    <w:multiLevelType w:val="hybridMultilevel"/>
    <w:lvl w:ilvl="0">
      <w:lvlJc w:val="left"/>
      <w:lvlText w:val="•"/>
      <w:numFmt w:val="bullet"/>
      <w:start w:val="1"/>
    </w:lvl>
  </w:abstractNum>
  <w:abstractNum w:abstractNumId="52">
    <w:nsid w:val="61E74EA3"/>
    <w:multiLevelType w:val="hybridMultilevel"/>
    <w:lvl w:ilvl="0">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
      <w:numFmt w:val="bullet"/>
      <w:start w:val="1"/>
    </w:lvl>
  </w:abstractNum>
  <w:abstractNum w:abstractNumId="57">
    <w:nsid w:val="631B64D4"/>
    <w:multiLevelType w:val="hybridMultilevel"/>
    <w:lvl w:ilvl="0">
      <w:lvlJc w:val="left"/>
      <w:lvlText w:val="•"/>
      <w:numFmt w:val="bullet"/>
      <w:start w:val="1"/>
    </w:lvl>
  </w:abstractNum>
  <w:abstractNum w:abstractNumId="58">
    <w:nsid w:val="78B5E776"/>
    <w:multiLevelType w:val="hybridMultilevel"/>
    <w:lvl w:ilvl="0">
      <w:lvlJc w:val="left"/>
      <w:lvlText w:val="(%1)"/>
      <w:numFmt w:val="decimal"/>
      <w:start w:val="1"/>
    </w:lvl>
  </w:abstractNum>
  <w:abstractNum w:abstractNumId="59">
    <w:nsid w:val="75486E47"/>
    <w:multiLevelType w:val="hybridMultilevel"/>
    <w:lvl w:ilvl="0">
      <w:lvlJc w:val="left"/>
      <w:lvlText w:val="•"/>
      <w:numFmt w:val="bullet"/>
      <w:start w:val="1"/>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1)"/>
      <w:numFmt w:val="decimal"/>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1)"/>
      <w:numFmt w:val="decimal"/>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emdash "/>
      <w:numFmt w:val="bullet"/>
      <w:start w:val="1"/>
    </w:lvl>
  </w:abstractNum>
  <w:abstractNum w:abstractNumId="73">
    <w:nsid w:val="3F06ECB2"/>
    <w:multiLevelType w:val="hybridMultilevel"/>
    <w:lvl w:ilvl="0">
      <w:lvlJc w:val="left"/>
      <w:lvlText w:val="\emdash "/>
      <w:numFmt w:val="bullet"/>
      <w:start w:val="1"/>
    </w:lvl>
  </w:abstractNum>
  <w:abstractNum w:abstractNumId="74">
    <w:nsid w:val="3B594807"/>
    <w:multiLevelType w:val="hybridMultilevel"/>
    <w:lvl w:ilvl="0">
      <w:lvlJc w:val="left"/>
      <w:lvlText w:val="\emdash "/>
      <w:numFmt w:val="bullet"/>
      <w:start w:val="1"/>
    </w:lvl>
  </w:abstractNum>
  <w:abstractNum w:abstractNumId="75">
    <w:nsid w:val="6CAA2304"/>
    <w:multiLevelType w:val="hybridMultilevel"/>
    <w:lvl w:ilvl="0">
      <w:lvlJc w:val="left"/>
      <w:lvlText w:val="\emdash "/>
      <w:numFmt w:val="bullet"/>
      <w:start w:val="1"/>
    </w:lvl>
  </w:abstractNum>
  <w:abstractNum w:abstractNumId="76">
    <w:nsid w:val="3F7C2FF4"/>
    <w:multiLevelType w:val="hybridMultilevel"/>
    <w:lvl w:ilvl="0">
      <w:lvlJc w:val="left"/>
      <w:lvlText w:val="(%1)"/>
      <w:numFmt w:val="decimal"/>
      <w:start w:val="438"/>
    </w:lvl>
  </w:abstractNum>
  <w:abstractNum w:abstractNumId="77">
    <w:nsid w:val="25413BEC"/>
    <w:multiLevelType w:val="hybridMultilevel"/>
    <w:lvl w:ilvl="0">
      <w:lvlJc w:val="left"/>
      <w:lvlText w:val="(%1)"/>
      <w:numFmt w:val="decimal"/>
      <w:start w:val="237"/>
    </w:lvl>
  </w:abstractNum>
  <w:abstractNum w:abstractNumId="78">
    <w:nsid w:val="17180B0B"/>
    <w:multiLevelType w:val="hybridMultilevel"/>
    <w:lvl w:ilvl="0">
      <w:lvlJc w:val="left"/>
      <w:lvlText w:val="(%1)"/>
      <w:numFmt w:val="decimal"/>
      <w:start w:val="1"/>
    </w:lvl>
  </w:abstractNum>
  <w:abstractNum w:abstractNumId="79">
    <w:nsid w:val="579328B9"/>
    <w:multiLevelType w:val="hybridMultilevel"/>
    <w:lvl w:ilvl="0">
      <w:lvlJc w:val="left"/>
      <w:lvlText w:val="•"/>
      <w:numFmt w:val="bullet"/>
      <w:start w:val="1"/>
    </w:lvl>
  </w:abstractNum>
  <w:abstractNum w:abstractNumId="80">
    <w:nsid w:val="5D205E20"/>
    <w:multiLevelType w:val="hybridMultilevel"/>
    <w:lvl w:ilvl="0">
      <w:lvlJc w:val="left"/>
      <w:lvlText w:val="(%1)"/>
      <w:numFmt w:val="decimal"/>
      <w:start w:val="1"/>
    </w:lvl>
  </w:abstractNum>
  <w:abstractNum w:abstractNumId="81">
    <w:nsid w:val="11CCA8BA"/>
    <w:multiLevelType w:val="hybridMultilevel"/>
    <w:lvl w:ilvl="0">
      <w:lvlJc w:val="left"/>
      <w:lvlText w:val="•"/>
      <w:numFmt w:val="bullet"/>
      <w:start w:val="1"/>
    </w:lvl>
  </w:abstractNum>
  <w:abstractNum w:abstractNumId="82">
    <w:nsid w:val="4D32AB86"/>
    <w:multiLevelType w:val="hybridMultilevel"/>
    <w:lvl w:ilvl="0">
      <w:lvlJc w:val="left"/>
      <w:lvlText w:val="(%1)"/>
      <w:numFmt w:val="decimal"/>
      <w:start w:val="1"/>
    </w:lvl>
  </w:abstractNum>
  <w:abstractNum w:abstractNumId="83">
    <w:nsid w:val="3F07ACC3"/>
    <w:multiLevelType w:val="hybridMultilevel"/>
    <w:lvl w:ilvl="0">
      <w:lvlJc w:val="left"/>
      <w:lvlText w:val="(%1)"/>
      <w:numFmt w:val="lowerRoman"/>
      <w:start w:val="1"/>
    </w:lvl>
  </w:abstractNum>
  <w:abstractNum w:abstractNumId="84">
    <w:nsid w:val="6B47F63E"/>
    <w:multiLevelType w:val="hybridMultilevel"/>
    <w:lvl w:ilvl="0">
      <w:lvlJc w:val="left"/>
      <w:lvlText w:val="(%1)"/>
      <w:numFmt w:val="decimal"/>
      <w:start w:val="1"/>
    </w:lvl>
  </w:abstractNum>
  <w:abstractNum w:abstractNumId="85">
    <w:nsid w:val="5CB44A05"/>
    <w:multiLevelType w:val="hybridMultilevel"/>
    <w:lvl w:ilvl="0">
      <w:lvlJc w:val="left"/>
      <w:lvlText w:val="(%1)"/>
      <w:numFmt w:val="decimal"/>
      <w:start w:val="2"/>
    </w:lvl>
  </w:abstractNum>
  <w:abstractNum w:abstractNumId="86">
    <w:nsid w:val="16CF80F1"/>
    <w:multiLevelType w:val="hybridMultilevel"/>
    <w:lvl w:ilvl="0">
      <w:lvlJc w:val="left"/>
      <w:lvlText w:val="(%1)"/>
      <w:numFmt w:val="decimal"/>
      <w:start w:val="1"/>
    </w:lvl>
  </w:abstractNum>
  <w:abstractNum w:abstractNumId="87">
    <w:nsid w:val="1C695DEC"/>
    <w:multiLevelType w:val="hybridMultilevel"/>
    <w:lvl w:ilvl="0">
      <w:lvlJc w:val="left"/>
      <w:lvlText w:val="%1"/>
      <w:numFmt w:val="decimal"/>
      <w:start w:val="1"/>
    </w:lvl>
    <w:lvl w:ilvl="1">
      <w:lvlJc w:val="left"/>
      <w:lvlText w:val="(%2)"/>
      <w:numFmt w:val="decimal"/>
      <w:start w:val="1"/>
    </w:lvl>
  </w:abstractNum>
  <w:abstractNum w:abstractNumId="88">
    <w:nsid w:val="3FCFAED9"/>
    <w:multiLevelType w:val="hybridMultilevel"/>
    <w:lvl w:ilvl="0">
      <w:lvlJc w:val="left"/>
      <w:lvlText w:val="%1."/>
      <w:numFmt w:val="decimal"/>
      <w:start w:val="15"/>
    </w:lvl>
    <w:lvl w:ilvl="1">
      <w:lvlJc w:val="left"/>
      <w:lvlText w:val="%2"/>
      <w:numFmt w:val="decimal"/>
      <w:start w:val="1"/>
    </w:lvl>
  </w:abstractNum>
  <w:abstractNum w:abstractNumId="89">
    <w:nsid w:val="F856867"/>
    <w:multiLevelType w:val="hybridMultilevel"/>
    <w:lvl w:ilvl="0">
      <w:lvlJc w:val="left"/>
      <w:lvlText w:val="•"/>
      <w:numFmt w:val="bullet"/>
      <w:start w:val="1"/>
    </w:lvl>
  </w:abstractNum>
  <w:abstractNum w:abstractNumId="90">
    <w:nsid w:val="11B1CC33"/>
    <w:multiLevelType w:val="hybridMultilevel"/>
    <w:lvl w:ilvl="0">
      <w:lvlJc w:val="left"/>
      <w:lvlText w:val="(%1)"/>
      <w:numFmt w:val="decimal"/>
      <w:start w:val="1"/>
    </w:lvl>
  </w:abstractNum>
  <w:abstractNum w:abstractNumId="91">
    <w:nsid w:val="2E22FBB7"/>
    <w:multiLevelType w:val="hybridMultilevel"/>
    <w:lvl w:ilvl="0">
      <w:lvlJc w:val="left"/>
      <w:lvlText w:val="(%1)"/>
      <w:numFmt w:val="decimal"/>
      <w:start w:val="1"/>
    </w:lvl>
  </w:abstractNum>
  <w:abstractNum w:abstractNumId="92">
    <w:nsid w:val="29934699"/>
    <w:multiLevelType w:val="hybridMultilevel"/>
    <w:lvl w:ilvl="0">
      <w:lvlJc w:val="left"/>
      <w:lvlText w:val="(%1)"/>
      <w:numFmt w:val="decimal"/>
      <w:start w:val="1"/>
    </w:lvl>
  </w:abstractNum>
  <w:abstractNum w:abstractNumId="93">
    <w:nsid w:val="77485850"/>
    <w:multiLevelType w:val="hybridMultilevel"/>
    <w:lvl w:ilvl="0">
      <w:lvlJc w:val="left"/>
      <w:lvlText w:val="(%1)"/>
      <w:numFmt w:val="decimal"/>
      <w:start w:val="1"/>
    </w:lvl>
  </w:abstractNum>
  <w:abstractNum w:abstractNumId="94">
    <w:nsid w:val="744939A3"/>
    <w:multiLevelType w:val="hybridMultilevel"/>
    <w:lvl w:ilvl="0">
      <w:lvlJc w:val="left"/>
      <w:lvlText w:val="\emdash "/>
      <w:numFmt w:val="bullet"/>
      <w:start w:val="1"/>
    </w:lvl>
    <w:lvl w:ilvl="1">
      <w:lvlJc w:val="left"/>
      <w:lvlText w:val="\emdash "/>
      <w:numFmt w:val="bullet"/>
      <w:start w:val="1"/>
    </w:lvl>
  </w:abstractNum>
  <w:abstractNum w:abstractNumId="95">
    <w:nsid w:val="4FA0D2E3"/>
    <w:multiLevelType w:val="hybridMultilevel"/>
    <w:lvl w:ilvl="0">
      <w:lvlJc w:val="left"/>
      <w:lvlText w:val="(%1)"/>
      <w:numFmt w:val="decimal"/>
      <w:start w:val="1"/>
    </w:lvl>
  </w:abstractNum>
  <w:abstractNum w:abstractNumId="96">
    <w:nsid w:val="6B1D2C14"/>
    <w:multiLevelType w:val="hybridMultilevel"/>
    <w:lvl w:ilvl="0">
      <w:lvlJc w:val="left"/>
      <w:lvlText w:val="&amp;"/>
      <w:numFmt w:val="bullet"/>
      <w:start w:val="1"/>
    </w:lvl>
  </w:abstractNum>
  <w:abstractNum w:abstractNumId="97">
    <w:nsid w:val="68B867D3"/>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98">
    <w:nsid w:val="3F7F5DD9"/>
    <w:multiLevelType w:val="hybridMultilevel"/>
    <w:lvl w:ilvl="0">
      <w:lvlJc w:val="left"/>
      <w:lvlText w:val="(%1)"/>
      <w:numFmt w:val="decimal"/>
      <w:start w:val="3"/>
    </w:lvl>
  </w:abstractNum>
  <w:abstractNum w:abstractNumId="99">
    <w:nsid w:val="2AE05A34"/>
    <w:multiLevelType w:val="hybridMultilevel"/>
    <w:lvl w:ilvl="0">
      <w:lvlJc w:val="left"/>
      <w:lvlText w:val="•"/>
      <w:numFmt w:val="bullet"/>
      <w:start w:val="1"/>
    </w:lvl>
  </w:abstractNum>
  <w:abstractNum w:abstractNumId="100">
    <w:nsid w:val="32794FF7"/>
    <w:multiLevelType w:val="hybridMultilevel"/>
    <w:lvl w:ilvl="0">
      <w:lvlJc w:val="left"/>
      <w:lvlText w:val="(%1)"/>
      <w:numFmt w:val="decimal"/>
      <w:start w:val="1"/>
    </w:lvl>
  </w:abstractNum>
  <w:abstractNum w:abstractNumId="101">
    <w:nsid w:val="5454945E"/>
    <w:multiLevelType w:val="hybridMultilevel"/>
    <w:lvl w:ilvl="0">
      <w:lvlJc w:val="left"/>
      <w:lvlText w:val="(%1)"/>
      <w:numFmt w:val="decimal"/>
      <w:start w:val="1"/>
    </w:lvl>
  </w:abstractNum>
  <w:abstractNum w:abstractNumId="102">
    <w:nsid w:val="4DEFDFA0"/>
    <w:multiLevelType w:val="hybridMultilevel"/>
    <w:lvl w:ilvl="0">
      <w:lvlJc w:val="left"/>
      <w:lvlText w:val="(%1)"/>
      <w:numFmt w:val="decimal"/>
      <w:start w:val="1"/>
    </w:lvl>
  </w:abstractNum>
  <w:abstractNum w:abstractNumId="103">
    <w:nsid w:val="2123D5F2"/>
    <w:multiLevelType w:val="hybridMultilevel"/>
    <w:lvl w:ilvl="0">
      <w:lvlJc w:val="left"/>
      <w:lvlText w:val="(%1)"/>
      <w:numFmt w:val="decimal"/>
      <w:start w:val="1"/>
    </w:lvl>
  </w:abstractNum>
  <w:abstractNum w:abstractNumId="104">
    <w:nsid w:val="135B8110"/>
    <w:multiLevelType w:val="hybridMultilevel"/>
    <w:lvl w:ilvl="0">
      <w:lvlJc w:val="left"/>
      <w:lvlText w:val="(%1)"/>
      <w:numFmt w:val="decimal"/>
      <w:start w:val="1"/>
    </w:lvl>
  </w:abstractNum>
  <w:abstractNum w:abstractNumId="105">
    <w:nsid w:val="94927A8"/>
    <w:multiLevelType w:val="hybridMultilevel"/>
    <w:lvl w:ilvl="0">
      <w:lvlJc w:val="left"/>
      <w:lvlText w:val="•"/>
      <w:numFmt w:val="bullet"/>
      <w:start w:val="1"/>
    </w:lvl>
  </w:abstractNum>
  <w:abstractNum w:abstractNumId="106">
    <w:nsid w:val="DCDF8F6"/>
    <w:multiLevelType w:val="hybridMultilevel"/>
    <w:lvl w:ilvl="0">
      <w:lvlJc w:val="left"/>
      <w:lvlText w:val="•"/>
      <w:numFmt w:val="bullet"/>
      <w:start w:val="1"/>
    </w:lvl>
  </w:abstractNum>
  <w:abstractNum w:abstractNumId="107">
    <w:nsid w:val="52D7B105"/>
    <w:multiLevelType w:val="hybridMultilevel"/>
    <w:lvl w:ilvl="0">
      <w:lvlJc w:val="left"/>
      <w:lvlText w:val="(%1)"/>
      <w:numFmt w:val="decimal"/>
      <w:start w:val="1"/>
    </w:lvl>
  </w:abstractNum>
  <w:abstractNum w:abstractNumId="108">
    <w:nsid w:val="2E8A6394"/>
    <w:multiLevelType w:val="hybridMultilevel"/>
    <w:lvl w:ilvl="0">
      <w:lvlJc w:val="left"/>
      <w:lvlText w:val="(%1)"/>
      <w:numFmt w:val="decimal"/>
      <w:start w:val="1"/>
    </w:lvl>
  </w:abstractNum>
  <w:abstractNum w:abstractNumId="109">
    <w:nsid w:val="24E60401"/>
    <w:multiLevelType w:val="hybridMultilevel"/>
    <w:lvl w:ilvl="0">
      <w:lvlJc w:val="left"/>
      <w:lvlText w:val="(%1)"/>
      <w:numFmt w:val="decimal"/>
      <w:start w:val="1"/>
    </w:lvl>
  </w:abstractNum>
  <w:abstractNum w:abstractNumId="110">
    <w:nsid w:val="2A6AD9BE"/>
    <w:multiLevelType w:val="hybridMultilevel"/>
    <w:lvl w:ilvl="0">
      <w:lvlJc w:val="left"/>
      <w:lvlText w:val="(%1)"/>
      <w:numFmt w:val="decimal"/>
      <w:start w:val="3"/>
    </w:lvl>
  </w:abstractNum>
  <w:abstractNum w:abstractNumId="111">
    <w:nsid w:val="BAAC1B4"/>
    <w:multiLevelType w:val="hybridMultilevel"/>
    <w:lvl w:ilvl="0">
      <w:lvlJc w:val="left"/>
      <w:lvlText w:val="(%1)"/>
      <w:numFmt w:val="decimal"/>
      <w:start w:val="1"/>
    </w:lvl>
  </w:abstractNum>
  <w:abstractNum w:abstractNumId="112">
    <w:nsid w:val="36B2ACBC"/>
    <w:multiLevelType w:val="hybridMultilevel"/>
    <w:lvl w:ilvl="0">
      <w:lvlJc w:val="left"/>
      <w:lvlText w:val="(%1)"/>
      <w:numFmt w:val="decimal"/>
      <w:start w:val="1"/>
    </w:lvl>
  </w:abstractNum>
  <w:abstractNum w:abstractNumId="113">
    <w:nsid w:val="779D8544"/>
    <w:multiLevelType w:val="hybridMultilevel"/>
    <w:lvl w:ilvl="0">
      <w:lvlJc w:val="left"/>
      <w:lvlText w:val="(%1)"/>
      <w:numFmt w:val="decimal"/>
      <w:start w:val="4"/>
    </w:lvl>
  </w:abstractNum>
  <w:abstractNum w:abstractNumId="114">
    <w:nsid w:val="4AB26E78"/>
    <w:multiLevelType w:val="hybridMultilevel"/>
    <w:lvl w:ilvl="0">
      <w:lvlJc w:val="left"/>
      <w:lvlText w:val="(%1)"/>
      <w:numFmt w:val="decimal"/>
      <w:start w:val="1"/>
    </w:lvl>
  </w:abstractNum>
  <w:abstractNum w:abstractNumId="115">
    <w:nsid w:val="21FAA2FA"/>
    <w:multiLevelType w:val="hybridMultilevel"/>
    <w:lvl w:ilvl="0">
      <w:lvlJc w:val="left"/>
      <w:lvlText w:val="(%1)"/>
      <w:numFmt w:val="decimal"/>
      <w:start w:val="4"/>
    </w:lvl>
  </w:abstractNum>
  <w:abstractNum w:abstractNumId="116">
    <w:nsid w:val="5451CF49"/>
    <w:multiLevelType w:val="hybridMultilevel"/>
    <w:lvl w:ilvl="0">
      <w:lvlJc w:val="left"/>
      <w:lvlText w:val="•"/>
      <w:numFmt w:val="bullet"/>
      <w:start w:val="1"/>
    </w:lvl>
  </w:abstractNum>
  <w:abstractNum w:abstractNumId="117">
    <w:nsid w:val="6181EF69"/>
    <w:multiLevelType w:val="hybridMultilevel"/>
    <w:lvl w:ilvl="0">
      <w:lvlJc w:val="left"/>
      <w:lvlText w:val="o"/>
      <w:numFmt w:val="bullet"/>
      <w:start w:val="1"/>
    </w:lvl>
  </w:abstractNum>
  <w:abstractNum w:abstractNumId="118">
    <w:nsid w:val="3E6400E6"/>
    <w:multiLevelType w:val="hybridMultilevel"/>
    <w:lvl w:ilvl="0">
      <w:lvlJc w:val="left"/>
      <w:lvlText w:val="•"/>
      <w:numFmt w:val="bullet"/>
      <w:start w:val="1"/>
    </w:lvl>
  </w:abstractNum>
  <w:abstractNum w:abstractNumId="119">
    <w:nsid w:val="14217E23"/>
    <w:multiLevelType w:val="hybridMultilevel"/>
    <w:lvl w:ilvl="0">
      <w:lvlJc w:val="left"/>
      <w:lvlText w:val="(%1)"/>
      <w:numFmt w:val="decimal"/>
      <w:start w:val="1"/>
    </w:lvl>
  </w:abstractNum>
  <w:abstractNum w:abstractNumId="120">
    <w:nsid w:val="710757D0"/>
    <w:multiLevelType w:val="hybridMultilevel"/>
    <w:lvl w:ilvl="0">
      <w:lvlJc w:val="left"/>
      <w:lvlText w:val="•"/>
      <w:numFmt w:val="bullet"/>
      <w:start w:val="1"/>
    </w:lvl>
  </w:abstractNum>
  <w:abstractNum w:abstractNumId="121">
    <w:nsid w:val="5015CD1A"/>
    <w:multiLevelType w:val="hybridMultilevel"/>
    <w:lvl w:ilvl="0">
      <w:lvlJc w:val="left"/>
      <w:lvlText w:val="(%1)"/>
      <w:numFmt w:val="decimal"/>
      <w:start w:val="1"/>
    </w:lvl>
  </w:abstractNum>
  <w:abstractNum w:abstractNumId="122">
    <w:nsid w:val="424479DA"/>
    <w:multiLevelType w:val="hybridMultilevel"/>
    <w:lvl w:ilvl="0">
      <w:lvlJc w:val="left"/>
      <w:lvlText w:val="(%1)"/>
      <w:numFmt w:val="decimal"/>
      <w:start w:val="1"/>
    </w:lvl>
  </w:abstractNum>
  <w:abstractNum w:abstractNumId="123">
    <w:nsid w:val="1A9A9E69"/>
    <w:multiLevelType w:val="hybridMultilevel"/>
    <w:lvl w:ilvl="0">
      <w:lvlJc w:val="left"/>
      <w:lvlText w:val="•"/>
      <w:numFmt w:val="bullet"/>
      <w:start w:val="1"/>
    </w:lvl>
  </w:abstractNum>
  <w:abstractNum w:abstractNumId="124">
    <w:nsid w:val="475E256A"/>
    <w:multiLevelType w:val="hybridMultilevel"/>
    <w:lvl w:ilvl="0">
      <w:lvlJc w:val="left"/>
      <w:lvlText w:val="•"/>
      <w:numFmt w:val="bullet"/>
      <w:start w:val="1"/>
    </w:lvl>
  </w:abstractNum>
  <w:abstractNum w:abstractNumId="125">
    <w:nsid w:val="368DB37E"/>
    <w:multiLevelType w:val="hybridMultilevel"/>
    <w:lvl w:ilvl="0">
      <w:lvlJc w:val="left"/>
      <w:lvlText w:val="•"/>
      <w:numFmt w:val="bullet"/>
      <w:start w:val="1"/>
    </w:lvl>
  </w:abstractNum>
  <w:abstractNum w:abstractNumId="126">
    <w:nsid w:val="6A3B714C"/>
    <w:multiLevelType w:val="hybridMultilevel"/>
    <w:lvl w:ilvl="0">
      <w:lvlJc w:val="left"/>
      <w:lvlText w:val="(%1)"/>
      <w:numFmt w:val="decimal"/>
      <w:start w:val="1"/>
    </w:lvl>
  </w:abstractNum>
  <w:abstractNum w:abstractNumId="127">
    <w:nsid w:val="327B517E"/>
    <w:multiLevelType w:val="hybridMultilevel"/>
    <w:lvl w:ilvl="0">
      <w:lvlJc w:val="left"/>
      <w:lvlText w:val="*"/>
      <w:numFmt w:val="bullet"/>
      <w:start w:val="1"/>
    </w:lvl>
    <w:lvl w:ilvl="1">
      <w:lvlJc w:val="left"/>
      <w:lvlText w:val="%2"/>
      <w:numFmt w:val="decimal"/>
      <w:start w:val="104"/>
    </w:lvl>
  </w:abstractNum>
  <w:abstractNum w:abstractNumId="128">
    <w:nsid w:val="1F461B51"/>
    <w:multiLevelType w:val="hybridMultilevel"/>
    <w:lvl w:ilvl="0">
      <w:lvlJc w:val="left"/>
      <w:lvlText w:val="**"/>
      <w:numFmt w:val="bullet"/>
      <w:start w:val="1"/>
    </w:lvl>
  </w:abstractNum>
  <w:abstractNum w:abstractNumId="129">
    <w:nsid w:val="29BACF25"/>
    <w:multiLevelType w:val="hybridMultilevel"/>
    <w:lvl w:ilvl="0">
      <w:lvlJc w:val="left"/>
      <w:lvlText w:val="***"/>
      <w:numFmt w:val="bullet"/>
      <w:start w:val="1"/>
    </w:lvl>
  </w:abstractNum>
  <w:abstractNum w:abstractNumId="130">
    <w:nsid w:val="5D5BABB3"/>
    <w:multiLevelType w:val="hybridMultilevel"/>
    <w:lvl w:ilvl="0">
      <w:lvlJc w:val="left"/>
      <w:lvlText w:val="(%1)"/>
      <w:numFmt w:val="lowerLetter"/>
      <w:start w:val="3"/>
    </w:lvl>
  </w:abstractNum>
  <w:abstractNum w:abstractNumId="131">
    <w:nsid w:val="51BF6B48"/>
    <w:multiLevelType w:val="hybridMultilevel"/>
    <w:lvl w:ilvl="0">
      <w:lvlJc w:val="left"/>
      <w:lvlText w:val="•"/>
      <w:numFmt w:val="bullet"/>
      <w:start w:val="1"/>
    </w:lvl>
  </w:abstractNum>
  <w:abstractNum w:abstractNumId="132">
    <w:nsid w:val="7E0F6384"/>
    <w:multiLevelType w:val="hybridMultilevel"/>
    <w:lvl w:ilvl="0">
      <w:lvlJc w:val="left"/>
      <w:lvlText w:val="•"/>
      <w:numFmt w:val="bullet"/>
      <w:start w:val="1"/>
    </w:lvl>
  </w:abstractNum>
  <w:abstractNum w:abstractNumId="133">
    <w:nsid w:val="2B4B8B53"/>
    <w:multiLevelType w:val="hybridMultilevel"/>
    <w:lvl w:ilvl="0">
      <w:lvlJc w:val="left"/>
      <w:lvlText w:val="•"/>
      <w:numFmt w:val="bullet"/>
      <w:start w:val="1"/>
    </w:lvl>
  </w:abstractNum>
  <w:abstractNum w:abstractNumId="134">
    <w:nsid w:val="72E3413A"/>
    <w:multiLevelType w:val="hybridMultilevel"/>
    <w:lvl w:ilvl="0">
      <w:lvlJc w:val="left"/>
      <w:lvlText w:val="•"/>
      <w:numFmt w:val="bullet"/>
      <w:start w:val="1"/>
    </w:lvl>
    <w:lvl w:ilvl="1">
      <w:lvlJc w:val="left"/>
      <w:lvlText w:val="o"/>
      <w:numFmt w:val="bullet"/>
      <w:start w:val="1"/>
    </w:lvl>
  </w:abstractNum>
  <w:abstractNum w:abstractNumId="135">
    <w:nsid w:val="116AE494"/>
    <w:multiLevelType w:val="hybridMultilevel"/>
    <w:lvl w:ilvl="0">
      <w:lvlJc w:val="left"/>
      <w:lvlText w:val="•"/>
      <w:numFmt w:val="bullet"/>
      <w:start w:val="1"/>
    </w:lvl>
  </w:abstractNum>
  <w:abstractNum w:abstractNumId="136">
    <w:nsid w:val="3494B2FB"/>
    <w:multiLevelType w:val="hybridMultilevel"/>
    <w:lvl w:ilvl="0">
      <w:lvlJc w:val="left"/>
      <w:lvlText w:val="o"/>
      <w:numFmt w:val="bullet"/>
      <w:start w:val="1"/>
    </w:lvl>
  </w:abstractNum>
  <w:abstractNum w:abstractNumId="137">
    <w:nsid w:val="B13A31"/>
    <w:multiLevelType w:val="hybridMultilevel"/>
    <w:lvl w:ilvl="0">
      <w:lvlJc w:val="left"/>
      <w:lvlText w:val="(%1)"/>
      <w:numFmt w:val="decimal"/>
      <w:start w:val="1"/>
    </w:lvl>
  </w:abstractNum>
  <w:abstractNum w:abstractNumId="138">
    <w:nsid w:val="64429599"/>
    <w:multiLevelType w:val="hybridMultilevel"/>
    <w:lvl w:ilvl="0">
      <w:lvlJc w:val="left"/>
      <w:lvlText w:val="(%1)"/>
      <w:numFmt w:val="decimal"/>
      <w:start w:val="2"/>
    </w:lvl>
  </w:abstractNum>
  <w:abstractNum w:abstractNumId="139">
    <w:nsid w:val="631F1690"/>
    <w:multiLevelType w:val="hybridMultilevel"/>
    <w:lvl w:ilvl="0">
      <w:lvlJc w:val="left"/>
      <w:lvlText w:val="•"/>
      <w:numFmt w:val="bullet"/>
      <w:start w:val="1"/>
    </w:lvl>
  </w:abstractNum>
  <w:abstractNum w:abstractNumId="140">
    <w:nsid w:val="25973E32"/>
    <w:multiLevelType w:val="hybridMultilevel"/>
    <w:lvl w:ilvl="0">
      <w:lvlJc w:val="left"/>
      <w:lvlText w:val="•"/>
      <w:numFmt w:val="bullet"/>
      <w:start w:val="1"/>
    </w:lvl>
  </w:abstractNum>
  <w:abstractNum w:abstractNumId="141">
    <w:nsid w:val="EAD6F57"/>
    <w:multiLevelType w:val="hybridMultilevel"/>
    <w:lvl w:ilvl="0">
      <w:lvlJc w:val="left"/>
      <w:lvlText w:val="•"/>
      <w:numFmt w:val="bullet"/>
      <w:start w:val="1"/>
    </w:lvl>
  </w:abstractNum>
  <w:abstractNum w:abstractNumId="142">
    <w:nsid w:val="6EC9D844"/>
    <w:multiLevelType w:val="hybridMultilevel"/>
    <w:lvl w:ilvl="0">
      <w:lvlJc w:val="left"/>
      <w:lvlText w:val="•"/>
      <w:numFmt w:val="bullet"/>
      <w:start w:val="1"/>
    </w:lvl>
  </w:abstractNum>
  <w:abstractNum w:abstractNumId="143">
    <w:nsid w:val="5C49EAEE"/>
    <w:multiLevelType w:val="hybridMultilevel"/>
    <w:lvl w:ilvl="0">
      <w:lvlJc w:val="left"/>
      <w:lvlText w:val="•"/>
      <w:numFmt w:val="bullet"/>
      <w:start w:val="1"/>
    </w:lvl>
  </w:abstractNum>
  <w:abstractNum w:abstractNumId="144">
    <w:nsid w:val="64AF49B"/>
    <w:multiLevelType w:val="hybridMultilevel"/>
    <w:lvl w:ilvl="0">
      <w:lvlJc w:val="left"/>
      <w:lvlText w:val="•"/>
      <w:numFmt w:val="bullet"/>
      <w:start w:val="1"/>
    </w:lvl>
  </w:abstractNum>
  <w:abstractNum w:abstractNumId="145">
    <w:nsid w:val="397C46BC"/>
    <w:multiLevelType w:val="hybridMultilevel"/>
    <w:lvl w:ilvl="0">
      <w:lvlJc w:val="left"/>
      <w:lvlText w:val="•"/>
      <w:numFmt w:val="bullet"/>
      <w:start w:val="1"/>
    </w:lvl>
  </w:abstractNum>
  <w:abstractNum w:abstractNumId="146">
    <w:nsid w:val="7E448DE9"/>
    <w:multiLevelType w:val="hybridMultilevel"/>
    <w:lvl w:ilvl="0">
      <w:lvlJc w:val="left"/>
      <w:lvlText w:val="•"/>
      <w:numFmt w:val="bullet"/>
      <w:start w:val="1"/>
    </w:lvl>
  </w:abstractNum>
  <w:abstractNum w:abstractNumId="147">
    <w:nsid w:val="5A9CC3E5"/>
    <w:multiLevelType w:val="hybridMultilevel"/>
    <w:lvl w:ilvl="0">
      <w:lvlJc w:val="left"/>
      <w:lvlText w:val="•"/>
      <w:numFmt w:val="bullet"/>
      <w:start w:val="1"/>
    </w:lvl>
  </w:abstractNum>
  <w:abstractNum w:abstractNumId="148">
    <w:nsid w:val="1AFE3625"/>
    <w:multiLevelType w:val="hybridMultilevel"/>
    <w:lvl w:ilvl="0">
      <w:lvlJc w:val="left"/>
      <w:lvlText w:val="•"/>
      <w:numFmt w:val="bullet"/>
      <w:start w:val="1"/>
    </w:lvl>
  </w:abstractNum>
  <w:abstractNum w:abstractNumId="149">
    <w:nsid w:val="3CA88ECF"/>
    <w:multiLevelType w:val="hybridMultilevel"/>
    <w:lvl w:ilvl="0">
      <w:lvlJc w:val="left"/>
      <w:lvlText w:val="•"/>
      <w:numFmt w:val="bullet"/>
      <w:start w:val="1"/>
    </w:lvl>
  </w:abstractNum>
  <w:abstractNum w:abstractNumId="150">
    <w:nsid w:val="6EBE4208"/>
    <w:multiLevelType w:val="hybridMultilevel"/>
    <w:lvl w:ilvl="0">
      <w:lvlJc w:val="left"/>
      <w:lvlText w:val="•"/>
      <w:numFmt w:val="bullet"/>
      <w:start w:val="1"/>
    </w:lvl>
  </w:abstractNum>
  <w:abstractNum w:abstractNumId="151">
    <w:nsid w:val="C058DF5"/>
    <w:multiLevelType w:val="hybridMultilevel"/>
    <w:lvl w:ilvl="0">
      <w:lvlJc w:val="left"/>
      <w:lvlText w:val="•"/>
      <w:numFmt w:val="bullet"/>
      <w:start w:val="1"/>
    </w:lvl>
  </w:abstractNum>
  <w:abstractNum w:abstractNumId="152">
    <w:nsid w:val="CBE5BE9"/>
    <w:multiLevelType w:val="hybridMultilevel"/>
    <w:lvl w:ilvl="0">
      <w:lvlJc w:val="left"/>
      <w:lvlText w:val="%1"/>
      <w:numFmt w:val="decimal"/>
      <w:start w:val="1"/>
    </w:lvl>
    <w:lvl w:ilvl="1">
      <w:lvlJc w:val="left"/>
      <w:lvlText w:val="%2."/>
      <w:numFmt w:val="decimal"/>
      <w:start w:val="1"/>
    </w:lvl>
  </w:abstractNum>
  <w:abstractNum w:abstractNumId="153">
    <w:nsid w:val="3102BBE2"/>
    <w:multiLevelType w:val="hybridMultilevel"/>
    <w:lvl w:ilvl="0">
      <w:lvlJc w:val="left"/>
      <w:lvlText w:val="%1."/>
      <w:numFmt w:val="decimal"/>
      <w:start w:val="2"/>
    </w:lvl>
    <w:lvl w:ilvl="1">
      <w:lvlJc w:val="left"/>
      <w:lvlText w:val="%2"/>
      <w:numFmt w:val="decimal"/>
      <w:start w:val="1"/>
    </w:lvl>
  </w:abstractNum>
  <w:abstractNum w:abstractNumId="154">
    <w:nsid w:val="26A02C5E"/>
    <w:multiLevelType w:val="hybridMultilevel"/>
    <w:lvl w:ilvl="0">
      <w:lvlJc w:val="left"/>
      <w:lvlText w:val="%1."/>
      <w:numFmt w:val="decimal"/>
      <w:start w:val="1"/>
    </w:lvl>
    <w:lvl w:ilvl="1">
      <w:lvlJc w:val="left"/>
      <w:lvlText w:val="(%2)"/>
      <w:numFmt w:val="lowerLetter"/>
      <w:start w:val="1"/>
    </w:lvl>
  </w:abstractNum>
  <w:abstractNum w:abstractNumId="155">
    <w:nsid w:val="541C8153"/>
    <w:multiLevelType w:val="hybridMultilevel"/>
    <w:lvl w:ilvl="0">
      <w:lvlJc w:val="left"/>
      <w:lvlText w:val="(%1)"/>
      <w:numFmt w:val="lowerLetter"/>
      <w:start w:val="8"/>
    </w:lvl>
  </w:abstractNum>
  <w:abstractNum w:abstractNumId="156">
    <w:nsid w:val="67906F60"/>
    <w:multiLevelType w:val="hybridMultilevel"/>
    <w:lvl w:ilvl="0">
      <w:lvlJc w:val="left"/>
      <w:lvlText w:val="(%1)"/>
      <w:numFmt w:val="lowerLetter"/>
      <w:start w:val="12"/>
    </w:lvl>
  </w:abstractNum>
  <w:abstractNum w:abstractNumId="157">
    <w:nsid w:val="10DB9D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4"/>
    </w:lvl>
  </w:abstractNum>
  <w:abstractNum w:abstractNumId="158">
    <w:nsid w:val="697D2D2"/>
    <w:multiLevelType w:val="hybridMultilevel"/>
    <w:lvl w:ilvl="0">
      <w:lvlJc w:val="left"/>
      <w:lvlText w:val="%1"/>
      <w:numFmt w:val="lowerLetter"/>
      <w:start w:val="1"/>
    </w:lvl>
    <w:lvl w:ilvl="1">
      <w:lvlJc w:val="left"/>
      <w:lvlText w:val="(%2)"/>
      <w:numFmt w:val="lowerLetter"/>
      <w:start w:val="23"/>
    </w:lvl>
    <w:lvl w:ilvl="2">
      <w:lvlJc w:val="left"/>
      <w:lvlText w:val="(%3)"/>
      <w:numFmt w:val="lowerLetter"/>
      <w:start w:val="27"/>
    </w:lvl>
    <w:lvl w:ilvl="3">
      <w:lvlJc w:val="left"/>
      <w:lvlText w:val="%4"/>
      <w:numFmt w:val="lowerLetter"/>
      <w:start w:val="1"/>
    </w:lvl>
  </w:abstractNum>
  <w:abstractNum w:abstractNumId="159">
    <w:nsid w:val="6D68AB2"/>
    <w:multiLevelType w:val="hybridMultilevel"/>
    <w:lvl w:ilvl="0">
      <w:lvlJc w:val="left"/>
      <w:lvlText w:val="%1"/>
      <w:numFmt w:val="lowerLetter"/>
      <w:start w:val="1"/>
    </w:lvl>
    <w:lvl w:ilvl="1">
      <w:lvlJc w:val="left"/>
      <w:lvlText w:val="(%2)"/>
      <w:numFmt w:val="lowerLetter"/>
      <w:start w:val="29"/>
    </w:lvl>
    <w:lvl w:ilvl="2">
      <w:lvlJc w:val="left"/>
      <w:lvlText w:val="(%3)"/>
      <w:numFmt w:val="lowerLetter"/>
      <w:start w:val="30"/>
    </w:lvl>
    <w:lvl w:ilvl="3">
      <w:lvlJc w:val="left"/>
      <w:lvlText w:val="%4"/>
      <w:numFmt w:val="lowerLetter"/>
      <w:start w:val="1"/>
    </w:lvl>
  </w:abstractNum>
  <w:abstractNum w:abstractNumId="160">
    <w:nsid w:val="3A966CD0"/>
    <w:multiLevelType w:val="hybridMultilevel"/>
    <w:lvl w:ilvl="0">
      <w:lvlJc w:val="left"/>
      <w:lvlText w:val="(%1)"/>
      <w:numFmt w:val="lowerLetter"/>
      <w:start w:val="31"/>
    </w:lvl>
    <w:lvl w:ilvl="1">
      <w:lvlJc w:val="left"/>
      <w:lvlText w:val="(%2)"/>
      <w:numFmt w:val="lowerLetter"/>
      <w:start w:val="34"/>
    </w:lvl>
    <w:lvl w:ilvl="2">
      <w:lvlJc w:val="left"/>
      <w:lvlText w:val="(%3)"/>
      <w:numFmt w:val="lowerLetter"/>
      <w:start w:val="35"/>
    </w:lvl>
  </w:abstractNum>
  <w:abstractNum w:abstractNumId="161">
    <w:nsid w:val="63F37E85"/>
    <w:multiLevelType w:val="hybridMultilevel"/>
    <w:lvl w:ilvl="0">
      <w:lvlJc w:val="left"/>
      <w:lvlText w:val="%1"/>
      <w:numFmt w:val="lowerLetter"/>
      <w:start w:val="1"/>
    </w:lvl>
    <w:lvl w:ilvl="1">
      <w:lvlJc w:val="left"/>
      <w:lvlText w:val="(%2)"/>
      <w:numFmt w:val="lowerLetter"/>
      <w:start w:val="35"/>
    </w:lvl>
  </w:abstractNum>
  <w:abstractNum w:abstractNumId="162">
    <w:nsid w:val="5895F5FA"/>
    <w:multiLevelType w:val="hybridMultilevel"/>
    <w:lvl w:ilvl="0">
      <w:lvlJc w:val="left"/>
      <w:lvlText w:val="(%1)"/>
      <w:numFmt w:val="lowerLetter"/>
      <w:start w:val="36"/>
    </w:lvl>
    <w:lvl w:ilvl="1">
      <w:lvlJc w:val="left"/>
      <w:lvlText w:val="%2"/>
      <w:numFmt w:val="lowerLetter"/>
      <w:start w:val="1"/>
    </w:lvl>
  </w:abstractNum>
  <w:abstractNum w:abstractNumId="163">
    <w:nsid w:val="38A5D054"/>
    <w:multiLevelType w:val="hybridMultilevel"/>
    <w:lvl w:ilvl="0">
      <w:lvlJc w:val="left"/>
      <w:lvlText w:val="(%1)"/>
      <w:numFmt w:val="lowerLetter"/>
      <w:start w:val="39"/>
    </w:lvl>
  </w:abstractNum>
  <w:abstractNum w:abstractNumId="164">
    <w:nsid w:val="F3F09D8"/>
    <w:multiLevelType w:val="hybridMultilevel"/>
    <w:lvl w:ilvl="0">
      <w:lvlJc w:val="left"/>
      <w:lvlText w:val="(%1)"/>
      <w:numFmt w:val="lowerLetter"/>
      <w:start w:val="41"/>
    </w:lvl>
  </w:abstractNum>
  <w:abstractNum w:abstractNumId="165">
    <w:nsid w:val="4B793735"/>
    <w:multiLevelType w:val="hybridMultilevel"/>
    <w:lvl w:ilvl="0">
      <w:lvlJc w:val="left"/>
      <w:lvlText w:val="%1."/>
      <w:numFmt w:val="decimal"/>
      <w:start w:val="2"/>
    </w:lvl>
  </w:abstractNum>
  <w:abstractNum w:abstractNumId="166">
    <w:nsid w:val="4A10B4E8"/>
    <w:multiLevelType w:val="hybridMultilevel"/>
    <w:lvl w:ilvl="0">
      <w:lvlJc w:val="left"/>
      <w:lvlText w:val="(%1)"/>
      <w:numFmt w:val="lowerLetter"/>
      <w:start w:val="1"/>
    </w:lvl>
  </w:abstractNum>
  <w:abstractNum w:abstractNumId="167">
    <w:nsid w:val="43D3BCD4"/>
    <w:multiLevelType w:val="hybridMultilevel"/>
    <w:lvl w:ilvl="0">
      <w:lvlJc w:val="left"/>
      <w:lvlText w:val="(%1)"/>
      <w:numFmt w:val="lowerLetter"/>
      <w:start w:val="2"/>
    </w:lvl>
  </w:abstractNum>
  <w:abstractNum w:abstractNumId="168">
    <w:nsid w:val="4C2A7166"/>
    <w:multiLevelType w:val="hybridMultilevel"/>
    <w:lvl w:ilvl="0">
      <w:lvlJc w:val="left"/>
      <w:lvlText w:val="%1"/>
      <w:numFmt w:val="decimal"/>
      <w:start w:val="1"/>
    </w:lvl>
    <w:lvl w:ilvl="1">
      <w:lvlJc w:val="left"/>
      <w:lvlText w:val="(%2)"/>
      <w:numFmt w:val="decimal"/>
      <w:start w:val="2"/>
    </w:lvl>
  </w:abstractNum>
  <w:abstractNum w:abstractNumId="169">
    <w:nsid w:val="2E534A82"/>
    <w:multiLevelType w:val="hybridMultilevel"/>
    <w:lvl w:ilvl="0">
      <w:lvlJc w:val="left"/>
      <w:lvlText w:val="%1."/>
      <w:numFmt w:val="decimal"/>
      <w:start w:val="3"/>
    </w:lvl>
    <w:lvl w:ilvl="1">
      <w:lvlJc w:val="left"/>
      <w:lvlText w:val="%2"/>
      <w:numFmt w:val="decimal"/>
      <w:start w:val="1"/>
    </w:lvl>
  </w:abstractNum>
  <w:abstractNum w:abstractNumId="170">
    <w:nsid w:val="26F2D364"/>
    <w:multiLevelType w:val="hybridMultilevel"/>
    <w:lvl w:ilvl="0">
      <w:lvlJc w:val="left"/>
      <w:lvlText w:val="(%1)"/>
      <w:numFmt w:val="lowerLetter"/>
      <w:start w:val="1"/>
    </w:lvl>
  </w:abstractNum>
  <w:abstractNum w:abstractNumId="171">
    <w:nsid w:val="71C1AF98"/>
    <w:multiLevelType w:val="hybridMultilevel"/>
    <w:lvl w:ilvl="0">
      <w:lvlJc w:val="left"/>
      <w:lvlText w:val="(%1)"/>
      <w:numFmt w:val="lowerLetter"/>
      <w:start w:val="2"/>
    </w:lvl>
  </w:abstractNum>
  <w:abstractNum w:abstractNumId="172">
    <w:nsid w:val="3D00B9D9"/>
    <w:multiLevelType w:val="hybridMultilevel"/>
    <w:lvl w:ilvl="0">
      <w:lvlJc w:val="left"/>
      <w:lvlText w:val="(%1)"/>
      <w:numFmt w:val="lowerLetter"/>
      <w:start w:val="3"/>
    </w:lvl>
  </w:abstractNum>
  <w:abstractNum w:abstractNumId="173">
    <w:nsid w:val="15BCABA8"/>
    <w:multiLevelType w:val="hybridMultilevel"/>
    <w:lvl w:ilvl="0">
      <w:lvlJc w:val="left"/>
      <w:lvlText w:val="(%1)"/>
      <w:numFmt w:val="lowerLetter"/>
      <w:start w:val="4"/>
    </w:lvl>
  </w:abstractNum>
  <w:abstractNum w:abstractNumId="174">
    <w:nsid w:val="4E0B9A87"/>
    <w:multiLevelType w:val="hybridMultilevel"/>
    <w:lvl w:ilvl="0">
      <w:lvlJc w:val="left"/>
      <w:lvlText w:val="(%1)"/>
      <w:numFmt w:val="lowerLetter"/>
      <w:start w:val="5"/>
    </w:lvl>
  </w:abstractNum>
  <w:abstractNum w:abstractNumId="175">
    <w:nsid w:val="434BAE75"/>
    <w:multiLevelType w:val="hybridMultilevel"/>
    <w:lvl w:ilvl="0">
      <w:lvlJc w:val="left"/>
      <w:lvlText w:val="(%1)"/>
      <w:numFmt w:val="lowerLetter"/>
      <w:start w:val="6"/>
    </w:lvl>
  </w:abstractNum>
  <w:abstractNum w:abstractNumId="176">
    <w:nsid w:val="4F38F265"/>
    <w:multiLevelType w:val="hybridMultilevel"/>
    <w:lvl w:ilvl="0">
      <w:lvlJc w:val="left"/>
      <w:lvlText w:val="%1."/>
      <w:numFmt w:val="decimal"/>
      <w:start w:val="4"/>
    </w:lvl>
  </w:abstractNum>
  <w:abstractNum w:abstractNumId="177">
    <w:nsid w:val="4C502870"/>
    <w:multiLevelType w:val="hybridMultilevel"/>
    <w:lvl w:ilvl="0">
      <w:lvlJc w:val="left"/>
      <w:lvlText w:val="(%1)"/>
      <w:numFmt w:val="lowerLetter"/>
      <w:start w:val="1"/>
    </w:lvl>
    <w:lvl w:ilvl="1">
      <w:lvlJc w:val="left"/>
      <w:lvlText w:val="(%2)"/>
      <w:numFmt w:val="lowerRoman"/>
      <w:start w:val="1"/>
    </w:lvl>
  </w:abstractNum>
  <w:abstractNum w:abstractNumId="178">
    <w:nsid w:val="1DE8725A"/>
    <w:multiLevelType w:val="hybridMultilevel"/>
    <w:lvl w:ilvl="0">
      <w:lvlJc w:val="left"/>
      <w:lvlText w:val="(%1)"/>
      <w:numFmt w:val="lowerRoman"/>
      <w:start w:val="3"/>
    </w:lvl>
  </w:abstractNum>
  <w:abstractNum w:abstractNumId="179">
    <w:nsid w:val="6A37288A"/>
    <w:multiLevelType w:val="hybridMultilevel"/>
    <w:lvl w:ilvl="0">
      <w:lvlJc w:val="left"/>
      <w:lvlText w:val="(%1)"/>
      <w:numFmt w:val="lowerRoman"/>
      <w:start w:val="4"/>
    </w:lvl>
  </w:abstractNum>
  <w:abstractNum w:abstractNumId="180">
    <w:nsid w:val="8F8B73F"/>
    <w:multiLevelType w:val="hybridMultilevel"/>
    <w:lvl w:ilvl="0">
      <w:lvlJc w:val="left"/>
      <w:lvlText w:val="(%1)"/>
      <w:numFmt w:val="lowerRoman"/>
      <w:start w:val="6"/>
    </w:lvl>
  </w:abstractNum>
  <w:abstractNum w:abstractNumId="181">
    <w:nsid w:val="CA6B462"/>
    <w:multiLevelType w:val="hybridMultilevel"/>
    <w:lvl w:ilvl="0">
      <w:lvlJc w:val="left"/>
      <w:lvlText w:val="(%1)"/>
      <w:numFmt w:val="lowerRoman"/>
      <w:start w:val="8"/>
    </w:lvl>
  </w:abstractNum>
  <w:abstractNum w:abstractNumId="182">
    <w:nsid w:val="763CB680"/>
    <w:multiLevelType w:val="hybridMultilevel"/>
    <w:lvl w:ilvl="0">
      <w:lvlJc w:val="left"/>
      <w:lvlText w:val="(%1)"/>
      <w:numFmt w:val="lowerLetter"/>
      <w:start w:val="2"/>
    </w:lvl>
  </w:abstractNum>
  <w:abstractNum w:abstractNumId="183">
    <w:nsid w:val="15B71329"/>
    <w:multiLevelType w:val="hybridMultilevel"/>
    <w:lvl w:ilvl="0">
      <w:lvlJc w:val="left"/>
      <w:lvlText w:val="(%1)"/>
      <w:numFmt w:val="lowerLetter"/>
      <w:start w:val="3"/>
    </w:lvl>
  </w:abstractNum>
  <w:abstractNum w:abstractNumId="184">
    <w:nsid w:val="3DA97044"/>
    <w:multiLevelType w:val="hybridMultilevel"/>
    <w:lvl w:ilvl="0">
      <w:lvlJc w:val="left"/>
      <w:lvlText w:val="(%1)"/>
      <w:numFmt w:val="lowerLetter"/>
      <w:start w:val="4"/>
    </w:lvl>
  </w:abstractNum>
  <w:abstractNum w:abstractNumId="185">
    <w:nsid w:val="1CDCE2DE"/>
    <w:multiLevelType w:val="hybridMultilevel"/>
    <w:lvl w:ilvl="0">
      <w:lvlJc w:val="left"/>
      <w:lvlText w:val="%1."/>
      <w:numFmt w:val="decimal"/>
      <w:start w:val="5"/>
    </w:lvl>
  </w:abstractNum>
  <w:abstractNum w:abstractNumId="186">
    <w:nsid w:val="69D3947C"/>
    <w:multiLevelType w:val="hybridMultilevel"/>
    <w:lvl w:ilvl="0">
      <w:lvlJc w:val="left"/>
      <w:lvlText w:val="(%1)"/>
      <w:numFmt w:val="lowerLetter"/>
      <w:start w:val="1"/>
    </w:lvl>
  </w:abstractNum>
  <w:abstractNum w:abstractNumId="187">
    <w:nsid w:val="2539DFA5"/>
    <w:multiLevelType w:val="hybridMultilevel"/>
    <w:lvl w:ilvl="0">
      <w:lvlJc w:val="left"/>
      <w:lvlText w:val="(%1)"/>
      <w:numFmt w:val="lowerLetter"/>
      <w:start w:val="2"/>
    </w:lvl>
  </w:abstractNum>
  <w:abstractNum w:abstractNumId="188">
    <w:nsid w:val="2DB88089"/>
    <w:multiLevelType w:val="hybridMultilevel"/>
    <w:lvl w:ilvl="0">
      <w:lvlJc w:val="left"/>
      <w:lvlText w:val="(%1)"/>
      <w:numFmt w:val="lowerRoman"/>
      <w:start w:val="1"/>
    </w:lvl>
  </w:abstractNum>
  <w:abstractNum w:abstractNumId="189">
    <w:nsid w:val="706B674E"/>
    <w:multiLevelType w:val="hybridMultilevel"/>
    <w:lvl w:ilvl="0">
      <w:lvlJc w:val="left"/>
      <w:lvlText w:val="(%1)"/>
      <w:numFmt w:val="lowerLetter"/>
      <w:start w:val="5"/>
    </w:lvl>
  </w:abstractNum>
  <w:abstractNum w:abstractNumId="190">
    <w:nsid w:val="2C106A57"/>
    <w:multiLevelType w:val="hybridMultilevel"/>
    <w:lvl w:ilvl="0">
      <w:lvlJc w:val="left"/>
      <w:lvlText w:val="%1."/>
      <w:numFmt w:val="decimal"/>
      <w:start w:val="6"/>
    </w:lvl>
  </w:abstractNum>
  <w:abstractNum w:abstractNumId="191">
    <w:nsid w:val="684EED59"/>
    <w:multiLevelType w:val="hybridMultilevel"/>
    <w:lvl w:ilvl="0">
      <w:lvlJc w:val="left"/>
      <w:lvlText w:val="(%1)"/>
      <w:numFmt w:val="lowerLetter"/>
      <w:start w:val="1"/>
    </w:lvl>
  </w:abstractNum>
  <w:abstractNum w:abstractNumId="192">
    <w:nsid w:val="545EE5D3"/>
    <w:multiLevelType w:val="hybridMultilevel"/>
    <w:lvl w:ilvl="0">
      <w:lvlJc w:val="left"/>
      <w:lvlText w:val="(%1)"/>
      <w:numFmt w:val="lowerLetter"/>
      <w:start w:val="2"/>
    </w:lvl>
  </w:abstractNum>
  <w:abstractNum w:abstractNumId="193">
    <w:nsid w:val="4A66051"/>
    <w:multiLevelType w:val="hybridMultilevel"/>
    <w:lvl w:ilvl="0">
      <w:lvlJc w:val="left"/>
      <w:lvlText w:val="%1."/>
      <w:numFmt w:val="decimal"/>
      <w:start w:val="7"/>
    </w:lvl>
  </w:abstractNum>
  <w:abstractNum w:abstractNumId="194">
    <w:nsid w:val="20F4BDAD"/>
    <w:multiLevelType w:val="hybridMultilevel"/>
    <w:lvl w:ilvl="0">
      <w:lvlJc w:val="left"/>
      <w:lvlText w:val="%1."/>
      <w:numFmt w:val="decimal"/>
      <w:start w:val="8"/>
    </w:lvl>
  </w:abstractNum>
  <w:abstractNum w:abstractNumId="195">
    <w:nsid w:val="639DEFAC"/>
    <w:multiLevelType w:val="hybridMultilevel"/>
    <w:lvl w:ilvl="0">
      <w:lvlJc w:val="left"/>
      <w:lvlText w:val="%1."/>
      <w:numFmt w:val="decimal"/>
      <w:start w:val="9"/>
    </w:lvl>
  </w:abstractNum>
  <w:abstractNum w:abstractNumId="196">
    <w:nsid w:val="501F9786"/>
    <w:multiLevelType w:val="hybridMultilevel"/>
    <w:lvl w:ilvl="0">
      <w:lvlJc w:val="left"/>
      <w:lvlText w:val="(%1)"/>
      <w:numFmt w:val="lowerLetter"/>
      <w:start w:val="1"/>
    </w:lvl>
  </w:abstractNum>
  <w:abstractNum w:abstractNumId="197">
    <w:nsid w:val="6B057295"/>
    <w:multiLevelType w:val="hybridMultilevel"/>
    <w:lvl w:ilvl="0">
      <w:lvlJc w:val="left"/>
      <w:lvlText w:val="(%1)"/>
      <w:numFmt w:val="lowerLetter"/>
      <w:start w:val="2"/>
    </w:lvl>
  </w:abstractNum>
  <w:abstractNum w:abstractNumId="198">
    <w:nsid w:val="2771AC80"/>
    <w:multiLevelType w:val="hybridMultilevel"/>
    <w:lvl w:ilvl="0">
      <w:lvlJc w:val="left"/>
      <w:lvlText w:val="(%1)"/>
      <w:numFmt w:val="lowerRoman"/>
      <w:start w:val="3"/>
    </w:lvl>
  </w:abstractNum>
  <w:abstractNum w:abstractNumId="199">
    <w:nsid w:val="1C4A08EC"/>
    <w:multiLevelType w:val="hybridMultilevel"/>
    <w:lvl w:ilvl="0">
      <w:lvlJc w:val="left"/>
      <w:lvlText w:val="%1."/>
      <w:numFmt w:val="decimal"/>
      <w:start w:val="10"/>
    </w:lvl>
  </w:abstractNum>
  <w:abstractNum w:abstractNumId="200">
    <w:nsid w:val="1958BD17"/>
    <w:multiLevelType w:val="hybridMultilevel"/>
    <w:lvl w:ilvl="0">
      <w:lvlJc w:val="left"/>
      <w:lvlText w:val="%1."/>
      <w:numFmt w:val="decimal"/>
      <w:start w:val="11"/>
    </w:lvl>
  </w:abstractNum>
  <w:abstractNum w:abstractNumId="201">
    <w:nsid w:val="4E647FE4"/>
    <w:multiLevelType w:val="hybridMultilevel"/>
    <w:lvl w:ilvl="0">
      <w:lvlJc w:val="left"/>
      <w:lvlText w:val="%1."/>
      <w:numFmt w:val="decimal"/>
      <w:start w:val="12"/>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upperLetter"/>
      <w:start w:val="20"/>
    </w:lvl>
  </w:abstractNum>
  <w:abstractNum w:abstractNumId="204">
    <w:nsid w:val="64212B8C"/>
    <w:multiLevelType w:val="hybridMultilevel"/>
    <w:lvl w:ilvl="0">
      <w:lvlJc w:val="left"/>
      <w:lvlText w:val="%1:"/>
      <w:numFmt w:val="upperLetter"/>
      <w:start w:val="6"/>
    </w:lvl>
  </w:abstractNum>
  <w:abstractNum w:abstractNumId="205">
    <w:nsid w:val="5C17530C"/>
    <w:multiLevelType w:val="hybridMultilevel"/>
    <w:lvl w:ilvl="0">
      <w:lvlJc w:val="left"/>
      <w:lvlText w:val="%1."/>
      <w:numFmt w:val="decimal"/>
      <w:start w:val="13"/>
    </w:lvl>
  </w:abstractNum>
  <w:abstractNum w:abstractNumId="206">
    <w:nsid w:val="19A52566"/>
    <w:multiLevelType w:val="hybridMultilevel"/>
    <w:lvl w:ilvl="0">
      <w:lvlJc w:val="left"/>
      <w:lvlText w:val="%1."/>
      <w:numFmt w:val="decimal"/>
      <w:start w:val="14"/>
    </w:lvl>
  </w:abstractNum>
  <w:abstractNum w:abstractNumId="207">
    <w:nsid w:val="335A1DF1"/>
    <w:multiLevelType w:val="hybridMultilevel"/>
    <w:lvl w:ilvl="0">
      <w:lvlJc w:val="left"/>
      <w:lvlText w:val="%1."/>
      <w:numFmt w:val="decimal"/>
      <w:start w:val="15"/>
    </w:lvl>
  </w:abstractNum>
  <w:abstractNum w:abstractNumId="208">
    <w:nsid w:val="28677B7C"/>
    <w:multiLevelType w:val="hybridMultilevel"/>
    <w:lvl w:ilvl="0">
      <w:lvlJc w:val="left"/>
      <w:lvlText w:val="%1."/>
      <w:numFmt w:val="decimal"/>
      <w:start w:val="16"/>
    </w:lvl>
  </w:abstractNum>
  <w:abstractNum w:abstractNumId="209">
    <w:nsid w:val="378D97C0"/>
    <w:multiLevelType w:val="hybridMultilevel"/>
    <w:lvl w:ilvl="0">
      <w:lvlJc w:val="left"/>
      <w:lvlText w:val="%1."/>
      <w:numFmt w:val="decimal"/>
      <w:start w:val="17"/>
    </w:lvl>
  </w:abstractNum>
  <w:abstractNum w:abstractNumId="210">
    <w:nsid w:val="1D91467C"/>
    <w:multiLevelType w:val="hybridMultilevel"/>
    <w:lvl w:ilvl="0">
      <w:lvlJc w:val="left"/>
      <w:lvlText w:val="%1."/>
      <w:numFmt w:val="decimal"/>
      <w:start w:val="18"/>
    </w:lvl>
  </w:abstractNum>
  <w:abstractNum w:abstractNumId="211">
    <w:nsid w:val="316032BB"/>
    <w:multiLevelType w:val="hybridMultilevel"/>
    <w:lvl w:ilvl="0">
      <w:lvlJc w:val="left"/>
      <w:lvlText w:val="%1."/>
      <w:numFmt w:val="decimal"/>
      <w:start w:val="19"/>
    </w:lvl>
  </w:abstractNum>
  <w:abstractNum w:abstractNumId="212">
    <w:nsid w:val="44344C22"/>
    <w:multiLevelType w:val="hybridMultilevel"/>
    <w:lvl w:ilvl="0">
      <w:lvlJc w:val="left"/>
      <w:lvlText w:val="%1."/>
      <w:numFmt w:val="decimal"/>
      <w:start w:val="20"/>
    </w:lvl>
  </w:abstractNum>
  <w:abstractNum w:abstractNumId="213">
    <w:nsid w:val="13CDFCFC"/>
    <w:multiLevelType w:val="hybridMultilevel"/>
    <w:lvl w:ilvl="0">
      <w:lvlJc w:val="left"/>
      <w:lvlText w:val="%1."/>
      <w:numFmt w:val="decimal"/>
      <w:start w:val="21"/>
    </w:lvl>
  </w:abstractNum>
  <w:abstractNum w:abstractNumId="214">
    <w:nsid w:val="471745E4"/>
    <w:multiLevelType w:val="hybridMultilevel"/>
    <w:lvl w:ilvl="0">
      <w:lvlJc w:val="left"/>
      <w:lvlText w:val="%1."/>
      <w:numFmt w:val="decimal"/>
      <w:start w:val="22"/>
    </w:lvl>
  </w:abstractNum>
  <w:abstractNum w:abstractNumId="215">
    <w:nsid w:val="1DDBC66"/>
    <w:multiLevelType w:val="hybridMultilevel"/>
    <w:lvl w:ilvl="0">
      <w:lvlJc w:val="left"/>
      <w:lvlText w:val="%1."/>
      <w:numFmt w:val="decimal"/>
      <w:start w:val="23"/>
    </w:lvl>
  </w:abstractNum>
  <w:abstractNum w:abstractNumId="216">
    <w:nsid w:val="30AADFDA"/>
    <w:multiLevelType w:val="hybridMultilevel"/>
    <w:lvl w:ilvl="0">
      <w:lvlJc w:val="left"/>
      <w:lvlText w:val="%1."/>
      <w:numFmt w:val="decimal"/>
      <w:start w:val="24"/>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decimal"/>
      <w:start w:val="1"/>
    </w:lvl>
  </w:abstractNum>
  <w:abstractNum w:abstractNumId="219">
    <w:nsid w:val="5E636063"/>
    <w:multiLevelType w:val="hybridMultilevel"/>
    <w:lvl w:ilvl="0">
      <w:lvlJc w:val="left"/>
      <w:lvlText w:val="(%1)"/>
      <w:numFmt w:val="lowerLetter"/>
      <w:start w:val="1"/>
    </w:lvl>
  </w:abstractNum>
  <w:abstractNum w:abstractNumId="220">
    <w:nsid w:val="215641AF"/>
    <w:multiLevelType w:val="hybridMultilevel"/>
    <w:lvl w:ilvl="0">
      <w:lvlJc w:val="left"/>
      <w:lvlText w:val="(%1)"/>
      <w:numFmt w:val="lowerLetter"/>
      <w:start w:val="7"/>
    </w:lvl>
  </w:abstractNum>
  <w:abstractNum w:abstractNumId="221">
    <w:nsid w:val="53280662"/>
    <w:multiLevelType w:val="hybridMultilevel"/>
    <w:lvl w:ilvl="0">
      <w:lvlJc w:val="left"/>
      <w:lvlText w:val="%1."/>
      <w:numFmt w:val="decimal"/>
      <w:start w:val="2"/>
    </w:lvl>
  </w:abstractNum>
  <w:abstractNum w:abstractNumId="222">
    <w:nsid w:val="46B24DBC"/>
    <w:multiLevelType w:val="hybridMultilevel"/>
    <w:lvl w:ilvl="0">
      <w:lvlJc w:val="left"/>
      <w:lvlText w:val="(%1)"/>
      <w:numFmt w:val="lowerLetter"/>
      <w:start w:val="1"/>
    </w:lvl>
  </w:abstractNum>
  <w:abstractNum w:abstractNumId="223">
    <w:nsid w:val="75B52783"/>
    <w:multiLevelType w:val="hybridMultilevel"/>
    <w:lvl w:ilvl="0">
      <w:lvlJc w:val="left"/>
      <w:lvlText w:val="(%1)"/>
      <w:numFmt w:val="lowerLetter"/>
      <w:start w:val="5"/>
    </w:lvl>
  </w:abstractNum>
  <w:abstractNum w:abstractNumId="224">
    <w:nsid w:val="57CE66B4"/>
    <w:multiLevelType w:val="hybridMultilevel"/>
    <w:lvl w:ilvl="0">
      <w:lvlJc w:val="left"/>
      <w:lvlText w:val="%1."/>
      <w:numFmt w:val="decimal"/>
      <w:start w:val="3"/>
    </w:lvl>
  </w:abstractNum>
  <w:abstractNum w:abstractNumId="225">
    <w:nsid w:val="67A70B69"/>
    <w:multiLevelType w:val="hybridMultilevel"/>
    <w:lvl w:ilvl="0">
      <w:lvlJc w:val="left"/>
      <w:lvlText w:val="%1."/>
      <w:numFmt w:val="decimal"/>
      <w:start w:val="4"/>
    </w:lvl>
  </w:abstractNum>
  <w:abstractNum w:abstractNumId="226">
    <w:nsid w:val="5953172F"/>
    <w:multiLevelType w:val="hybridMultilevel"/>
    <w:lvl w:ilvl="0">
      <w:lvlJc w:val="left"/>
      <w:lvlText w:val="%1."/>
      <w:numFmt w:val="decimal"/>
      <w:start w:val="5"/>
    </w:lvl>
  </w:abstractNum>
  <w:abstractNum w:abstractNumId="227">
    <w:nsid w:val="27EDFE3A"/>
    <w:multiLevelType w:val="hybridMultilevel"/>
    <w:lvl w:ilvl="0">
      <w:lvlJc w:val="left"/>
      <w:lvlText w:val="%1."/>
      <w:numFmt w:val="decimal"/>
      <w:start w:val="6"/>
    </w:lvl>
  </w:abstractNum>
  <w:abstractNum w:abstractNumId="228">
    <w:nsid w:val="52AC7DFF"/>
    <w:multiLevelType w:val="hybridMultilevel"/>
    <w:lvl w:ilvl="0">
      <w:lvlJc w:val="left"/>
      <w:lvlText w:val="%1."/>
      <w:numFmt w:val="decimal"/>
      <w:start w:val="7"/>
    </w:lvl>
  </w:abstractNum>
  <w:abstractNum w:abstractNumId="229">
    <w:nsid w:val="C4C3AF"/>
    <w:multiLevelType w:val="hybridMultilevel"/>
    <w:lvl w:ilvl="0">
      <w:lvlJc w:val="left"/>
      <w:lvlText w:val="%1."/>
      <w:numFmt w:val="decimal"/>
      <w:start w:val="8"/>
    </w:lvl>
  </w:abstractNum>
  <w:abstractNum w:abstractNumId="230">
    <w:nsid w:val="44380727"/>
    <w:multiLevelType w:val="hybridMultilevel"/>
    <w:lvl w:ilvl="0">
      <w:lvlJc w:val="left"/>
      <w:lvlText w:val="%1."/>
      <w:numFmt w:val="decimal"/>
      <w:start w:val="9"/>
    </w:lvl>
  </w:abstractNum>
  <w:abstractNum w:abstractNumId="231">
    <w:nsid w:val="6C053B16"/>
    <w:multiLevelType w:val="hybridMultilevel"/>
    <w:lvl w:ilvl="0">
      <w:lvlJc w:val="left"/>
      <w:lvlText w:val="%1."/>
      <w:numFmt w:val="decimal"/>
      <w:start w:val="10"/>
    </w:lvl>
  </w:abstractNum>
  <w:abstractNum w:abstractNumId="232">
    <w:nsid w:val="4F294393"/>
    <w:multiLevelType w:val="hybridMultilevel"/>
    <w:lvl w:ilvl="0">
      <w:lvlJc w:val="left"/>
      <w:lvlText w:val="%1."/>
      <w:numFmt w:val="decimal"/>
      <w:start w:val="11"/>
    </w:lvl>
  </w:abstractNum>
  <w:abstractNum w:abstractNumId="233">
    <w:nsid w:val="5243BFAC"/>
    <w:multiLevelType w:val="hybridMultilevel"/>
    <w:lvl w:ilvl="0">
      <w:lvlJc w:val="left"/>
      <w:lvlText w:val="%1."/>
      <w:numFmt w:val="decimal"/>
      <w:start w:val="1"/>
    </w:lvl>
    <w:lvl w:ilvl="1">
      <w:lvlJc w:val="left"/>
      <w:lvlText w:val="(%2)"/>
      <w:numFmt w:val="lowerLetter"/>
      <w:start w:val="1"/>
    </w:lvl>
  </w:abstractNum>
  <w:abstractNum w:abstractNumId="234">
    <w:nsid w:val="425EB207"/>
    <w:multiLevelType w:val="hybridMultilevel"/>
    <w:lvl w:ilvl="0">
      <w:lvlJc w:val="left"/>
      <w:lvlText w:val="%1."/>
      <w:numFmt w:val="decimal"/>
      <w:start w:val="1"/>
    </w:lvl>
    <w:lvl w:ilvl="1">
      <w:lvlJc w:val="left"/>
      <w:lvlText w:val="(%2)"/>
      <w:numFmt w:val="lowerLetter"/>
      <w:start w:val="1"/>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jpe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jpeg"/><Relationship Id="rId240" Type="http://schemas.openxmlformats.org/officeDocument/2006/relationships/hyperlink" Target="http://www.sec.gov/Archives/edgar/data/1549922/000119312520133180/d921511dex21.htm" TargetMode="External"/><Relationship Id="rId241" Type="http://schemas.openxmlformats.org/officeDocument/2006/relationships/hyperlink" Target="http://www.sec.gov/Archives/edgar/data/1549922/000119312520158609/d933187dex31.htm" TargetMode="External"/><Relationship Id="rId242" Type="http://schemas.openxmlformats.org/officeDocument/2006/relationships/hyperlink" Target="http://www.sec.gov/Archives/edgar/data/1549922/000119312520158609/d933187dex32.htm" TargetMode="External"/><Relationship Id="rId243" Type="http://schemas.openxmlformats.org/officeDocument/2006/relationships/hyperlink" Target="http://www.sec.gov/Archives/edgar/data/1549922/000104746912008450/a2209444zex-3_1.htm" TargetMode="External"/><Relationship Id="rId244" Type="http://schemas.openxmlformats.org/officeDocument/2006/relationships/hyperlink" Target="http://www.sec.gov/Archives/edgar/data/1549922/000104746912008450/a2209444zex-3_4.htm" TargetMode="External"/><Relationship Id="rId245" Type="http://schemas.openxmlformats.org/officeDocument/2006/relationships/hyperlink" Target="http://www.sec.gov/Archives/edgar/data/1549922/000110465912067606/a12-22459_2ex4d1.htm" TargetMode="External"/><Relationship Id="rId246" Type="http://schemas.openxmlformats.org/officeDocument/2006/relationships/hyperlink" Target="http://www.sec.gov/Archives/edgar/data/1549922/000119312520296323/d92241dex101.htm" TargetMode="External"/><Relationship Id="rId247" Type="http://schemas.openxmlformats.org/officeDocument/2006/relationships/hyperlink" Target="http://www.sec.gov/Archives/edgar/data/1549922/000119312520296323/d92241dex102.htm" TargetMode="External"/><Relationship Id="rId248" Type="http://schemas.openxmlformats.org/officeDocument/2006/relationships/hyperlink" Target="http://www.sec.gov/Archives/edgar/data/1549922/000119312520296323/d92241dex103.htm" TargetMode="External"/><Relationship Id="rId252" Type="http://schemas.openxmlformats.org/officeDocument/2006/relationships/hyperlink" Target="http://www.sec.gov/Archives/edgar/data/1549922/000119312520158609/d933187dex101.htm" TargetMode="External"/><Relationship Id="rId253" Type="http://schemas.openxmlformats.org/officeDocument/2006/relationships/hyperlink" Target="http://www.sec.gov/Archives/edgar/data/1549922/000119312520158609/d933187dex102.htm" TargetMode="External"/><Relationship Id="rId254" Type="http://schemas.openxmlformats.org/officeDocument/2006/relationships/hyperlink" Target="http://www.sec.gov/Archives/edgar/data/1549922/000119312520158609/d933187dex103.htm" TargetMode="External"/><Relationship Id="rId255" Type="http://schemas.openxmlformats.org/officeDocument/2006/relationships/hyperlink" Target="http://www.sec.gov/Archives/edgar/data/1549922/000119312520158609/d933187dex104.htm" TargetMode="External"/><Relationship Id="rId256" Type="http://schemas.openxmlformats.org/officeDocument/2006/relationships/hyperlink" Target="http://www.sec.gov/Archives/edgar/data/1549922/000119312520158609/d933187dex105.htm" TargetMode="External"/><Relationship Id="rId257" Type="http://schemas.openxmlformats.org/officeDocument/2006/relationships/hyperlink" Target="http://www.sec.gov/Archives/edgar/data/1549922/000119312520158609/d933187dex106.htm" TargetMode="External"/><Relationship Id="rId258" Type="http://schemas.openxmlformats.org/officeDocument/2006/relationships/hyperlink" Target="http://www.sec.gov/Archives/edgar/data/1549922/000119312520158609/d933187dex107.htm" TargetMode="External"/><Relationship Id="rId259" Type="http://schemas.openxmlformats.org/officeDocument/2006/relationships/hyperlink" Target="http://www.sec.gov/Archives/edgar/data/1549922/000119312520158609/d933187dex108.htm" TargetMode="External"/><Relationship Id="rId260" Type="http://schemas.openxmlformats.org/officeDocument/2006/relationships/hyperlink" Target="http://www.sec.gov/Archives/edgar/data/1549922/000119312520158609/d933187dex109.htm" TargetMode="External"/><Relationship Id="rId261" Type="http://schemas.openxmlformats.org/officeDocument/2006/relationships/hyperlink" Target="http://www.sec.gov/Archives/edgar/data/1549922/000119312520158609/d933187dex1010.htm" TargetMode="External"/><Relationship Id="rId262" Type="http://schemas.openxmlformats.org/officeDocument/2006/relationships/hyperlink" Target="http://www.sec.gov/Archives/edgar/data/1549922/000156459020038480/smlp-ex1011_238.htm" TargetMode="External"/><Relationship Id="rId263" Type="http://schemas.openxmlformats.org/officeDocument/2006/relationships/hyperlink" Target="http://www.sec.gov/Archives/edgar/data/1549922/000119312520259668/d822819dex101.htm" TargetMode="External"/><Relationship Id="rId264" Type="http://schemas.openxmlformats.org/officeDocument/2006/relationships/hyperlink" Target="http://www.sec.gov/Archives/edgar/data/1549922/000110465913049675/a13-15045_1ex1d1.htm" TargetMode="External"/><Relationship Id="rId265" Type="http://schemas.openxmlformats.org/officeDocument/2006/relationships/hyperlink" Target="http://www.sec.gov/Archives/edgar/data/1549922/000156459019004248/smlp-ex101_11.htm" TargetMode="External"/><Relationship Id="rId269" Type="http://schemas.openxmlformats.org/officeDocument/2006/relationships/hyperlink" Target="http://www.sec.gov/Archives/edgar/data/1549922/000156459019004248/smlp-ex102_9.htm" TargetMode="External"/><Relationship Id="rId270" Type="http://schemas.openxmlformats.org/officeDocument/2006/relationships/hyperlink" Target="http://www.sec.gov/Archives/edgar/data/1549922/000110465913049675/a13-15045_1ex4d1.htm" TargetMode="External"/><Relationship Id="rId271" Type="http://schemas.openxmlformats.org/officeDocument/2006/relationships/hyperlink" Target="http://www.sec.gov/Archives/edgar/data/1549922/000110465913049675/a13-15045_1ex4d2.htm" TargetMode="External"/><Relationship Id="rId272" Type="http://schemas.openxmlformats.org/officeDocument/2006/relationships/hyperlink" Target="http://www.sec.gov/Archives/edgar/data/1549922/000110465913046980/a13-14380_1ex10d2.htm" TargetMode="External"/><Relationship Id="rId273" Type="http://schemas.openxmlformats.org/officeDocument/2006/relationships/hyperlink" Target="http://www.sec.gov/Archives/edgar/data/1549922/000154992217000042/a143281ks.htm" TargetMode="External"/><Relationship Id="rId274" Type="http://schemas.openxmlformats.org/officeDocument/2006/relationships/hyperlink" Target="http://www.sec.gov/Archives/edgar/data/1549922/000156459018003135/smlp-ex107_356.htm" TargetMode="External"/><Relationship Id="rId275" Type="http://schemas.openxmlformats.org/officeDocument/2006/relationships/hyperlink" Target="http://www.sec.gov/Archives/edgar/data/1549922/000156459019031250/smlp-ex102_7.htm" TargetMode="External"/><Relationship Id="rId276" Type="http://schemas.openxmlformats.org/officeDocument/2006/relationships/hyperlink" Target="http://www.sec.gov/Archives/edgar/data/1549922/000156459020009360/smlp-ex1011_356.htm" TargetMode="External"/><Relationship Id="rId277" Type="http://schemas.openxmlformats.org/officeDocument/2006/relationships/hyperlink" Target="http://www.sec.gov/Archives/edgar/data/1549922/000156459020057616/smlp-ex101_74.htm" TargetMode="External"/><Relationship Id="rId278" Type="http://schemas.openxmlformats.org/officeDocument/2006/relationships/hyperlink" Target="http://www.sec.gov/Archives/edgar/data/1549922/000156459020009360/smlp-ex1012_357.htm" TargetMode="External"/><Relationship Id="rId279" Type="http://schemas.openxmlformats.org/officeDocument/2006/relationships/hyperlink" Target="http://www.sec.gov/Archives/edgar/data/1549922/000154992214000024/exh1071213.htm" TargetMode="External"/><Relationship Id="rId280" Type="http://schemas.openxmlformats.org/officeDocument/2006/relationships/hyperlink" Target="http://www.sec.gov/Archives/edgar/data/1549922/000110465914051636/a14-16933_1ex4d1.htm" TargetMode="External"/><Relationship Id="rId281" Type="http://schemas.openxmlformats.org/officeDocument/2006/relationships/hyperlink" Target="http://www.sec.gov/Archives/edgar/data/1549922/000110465914051636/a14-16933_1ex4d2.htm" TargetMode="External"/><Relationship Id="rId282" Type="http://schemas.openxmlformats.org/officeDocument/2006/relationships/hyperlink" Target="http://www.sec.gov/Archives/edgar/data/1549922/000154992217000020/ex4-2.htm" TargetMode="External"/><Relationship Id="rId283" Type="http://schemas.openxmlformats.org/officeDocument/2006/relationships/hyperlink" Target="http://www.sec.gov/Archives/edgar/data/1549922/000110465915045168/a15-13975_1ex1d1.htm" TargetMode="External"/><Relationship Id="rId286" Type="http://schemas.openxmlformats.org/officeDocument/2006/relationships/hyperlink" Target="http://www.sec.gov/Archives/edgar/data/1549922/000154992216000117/smlpex101a01.htm" TargetMode="External"/><Relationship Id="rId287" Type="http://schemas.openxmlformats.org/officeDocument/2006/relationships/hyperlink" Target="http://www.sec.gov/Archives/edgar/data/1549922/000156459019004248/smlp-ex103_10.htm" TargetMode="External"/><Relationship Id="rId288" Type="http://schemas.openxmlformats.org/officeDocument/2006/relationships/hyperlink" Target="http://www.sec.gov/Archives/edgar/data/1549922/000156459019042016/smlp-ex101_131.htm" TargetMode="External"/><Relationship Id="rId289" Type="http://schemas.openxmlformats.org/officeDocument/2006/relationships/hyperlink" Target="http://www.sec.gov/Archives/edgar/data/1549922/000119312520296323/d92241dex104.htm" TargetMode="External"/><Relationship Id="rId290" Type="http://schemas.openxmlformats.org/officeDocument/2006/relationships/hyperlink" Target="http://www.sec.gov/Archives/edgar/data/1549922/000156459019004248/smlp-ex104_8.htm" TargetMode="External"/><Relationship Id="rId291" Type="http://schemas.openxmlformats.org/officeDocument/2006/relationships/hyperlink" Target="http://www.sec.gov/Archives/edgar/data/1549922/000119312517251435/d436208dex102.htm" TargetMode="External"/><Relationship Id="rId292" Type="http://schemas.openxmlformats.org/officeDocument/2006/relationships/hyperlink" Target="http://www.sec.gov/Archives/edgar/data/1549922/000154992217000030/ex1024bngempagmt.htm" TargetMode="External"/><Relationship Id="rId293" Type="http://schemas.openxmlformats.org/officeDocument/2006/relationships/hyperlink" Target="http://www.sec.gov/Archives/edgar/data/1549922/000156459020051994/smlp-ex103_79.htm" TargetMode="External"/><Relationship Id="rId294" Type="http://schemas.openxmlformats.org/officeDocument/2006/relationships/hyperlink" Target="http://www.sec.gov/Archives/edgar/data/1549922/000156459019002191/smlp-ex101_6.htm" TargetMode="External"/><Relationship Id="rId295" Type="http://schemas.openxmlformats.org/officeDocument/2006/relationships/hyperlink" Target="http://www.sec.gov/Archives/edgar/data/1549922/000156459019022240/smlp-ex101_7.htm" TargetMode="External"/><Relationship Id="rId296" Type="http://schemas.openxmlformats.org/officeDocument/2006/relationships/hyperlink" Target="http://www.sec.gov/Archives/edgar/data/1549922/000156459019031294/smlp-ex101_7.htm" TargetMode="External"/><Relationship Id="rId297" Type="http://schemas.openxmlformats.org/officeDocument/2006/relationships/hyperlink" Target="http://www.sec.gov/Archives/edgar/data/1549922/000156459020051994/smlp-ex104_80.htm" TargetMode="External"/><Relationship Id="rId298" Type="http://schemas.openxmlformats.org/officeDocument/2006/relationships/hyperlink" Target="http://www.sec.gov/Archives/edgar/data/1549922/000156459020012024/smlp-ex101_6.htm" TargetMode="External"/><Relationship Id="rId299" Type="http://schemas.openxmlformats.org/officeDocument/2006/relationships/hyperlink" Target="http://www.sec.gov/Archives/edgar/data/1549922/000154992215000097/cooltipunitawardagmt.htm" TargetMode="External"/><Relationship Id="rId300" Type="http://schemas.openxmlformats.org/officeDocument/2006/relationships/hyperlink" Target="http://www.sec.gov/Archives/edgar/data/1549922/000154992214000028/ex101formofsltagmt.htm" TargetMode="External"/><Relationship Id="rId301" Type="http://schemas.openxmlformats.org/officeDocument/2006/relationships/hyperlink" Target="http://www.sec.gov/Archives/edgar/data/1549922/000110465912067606/a12-22459_2ex10d3.htm" TargetMode="External"/><Relationship Id="rId302" Type="http://schemas.openxmlformats.org/officeDocument/2006/relationships/hyperlink" Target="http://www.sec.gov/Archives/edgar/data/1549922/000154992213000021/ex43-smlpxdcplan.htm" TargetMode="External"/><Relationship Id="rId305" Type="http://schemas.openxmlformats.org/officeDocument/2006/relationships/hyperlink" Target="http://www.sec.gov/Archives/edgar/data/0001549922/000119312520213741/d22126dex211.htm" TargetMode="External"/><Relationship Id="rId306" Type="http://schemas.openxmlformats.org/officeDocument/2006/relationships/hyperlink" Target="http://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2021-03-04T16:34:19Z</dcterms:created>
  <dcterms:modified xsi:type="dcterms:W3CDTF">2021-03-04T16:34:19Z</dcterms:modified>
</cp:coreProperties>
</file>