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001-35666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(832) 413-4770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Common Units Representing Limited Partner Interests in the Partnership</w:t>
            </w:r>
          </w:p>
        </w:tc>
        <w:tc>
          <w:tcPr>
            <w:tcW w:w="1240" w:type="dxa"/>
            <w:vAlign w:val="bottom"/>
          </w:tcPr>
          <w:p>
            <w:pPr>
              <w:spacing w:after="0"/>
              <w:rPr>
                <w:sz w:val="18"/>
                <w:szCs w:val="18"/>
                <w:color w:val="auto"/>
              </w:rPr>
            </w:pPr>
          </w:p>
        </w:tc>
      </w:tr>
      <w:tr>
        <w:trPr>
          <w:trHeight w:val="238"/>
        </w:trPr>
        <w:tc>
          <w:tcPr>
            <w:tcW w:w="1000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tc>
        <w:tc>
          <w:tcPr>
            <w:tcW w:w="1240" w:type="dxa"/>
            <w:vAlign w:val="bottom"/>
          </w:tcPr>
          <w:p>
            <w:pPr>
              <w:spacing w:after="0"/>
              <w:rPr>
                <w:sz w:val="20"/>
                <w:szCs w:val="20"/>
                <w:color w:val="auto"/>
              </w:rPr>
            </w:pPr>
          </w:p>
        </w:tc>
      </w:tr>
      <w:tr>
        <w:trPr>
          <w:trHeight w:val="410"/>
        </w:trPr>
        <w:tc>
          <w:tcPr>
            <w:tcW w:w="1000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40" w:type="dxa"/>
            <w:vAlign w:val="bottom"/>
          </w:tcPr>
          <w:p>
            <w:pPr>
              <w:spacing w:after="0"/>
              <w:rPr>
                <w:sz w:val="24"/>
                <w:szCs w:val="24"/>
                <w:color w:val="auto"/>
              </w:rPr>
            </w:pPr>
          </w:p>
        </w:tc>
      </w:tr>
      <w:tr>
        <w:trPr>
          <w:trHeight w:val="238"/>
        </w:trPr>
        <w:tc>
          <w:tcPr>
            <w:tcW w:w="1000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(Titles of all other classes of securities for which a duty to file reports under Section 13(a) or 15(d) remains)</w:t>
            </w:r>
          </w:p>
        </w:tc>
        <w:tc>
          <w:tcPr>
            <w:tcW w:w="1240" w:type="dxa"/>
            <w:vAlign w:val="bottom"/>
          </w:tcPr>
          <w:p>
            <w:pPr>
              <w:spacing w:after="0"/>
              <w:rPr>
                <w:sz w:val="20"/>
                <w:szCs w:val="20"/>
                <w:color w:val="auto"/>
              </w:rPr>
            </w:pPr>
          </w:p>
        </w:tc>
      </w:tr>
      <w:tr>
        <w:trPr>
          <w:trHeight w:val="223"/>
        </w:trPr>
        <w:tc>
          <w:tcPr>
            <w:tcW w:w="10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44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tc>
        <w:tc>
          <w:tcPr>
            <w:tcW w:w="1240" w:type="dxa"/>
            <w:vAlign w:val="bottom"/>
          </w:tcPr>
          <w:p>
            <w:pPr>
              <w:spacing w:after="0"/>
              <w:rPr>
                <w:sz w:val="24"/>
                <w:szCs w:val="24"/>
                <w:color w:val="auto"/>
              </w:rPr>
            </w:pPr>
          </w:p>
        </w:tc>
      </w:tr>
      <w:tr>
        <w:trPr>
          <w:trHeight w:val="378"/>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Rule 15d-22(b)</w:t>
            </w:r>
          </w:p>
        </w:tc>
        <w:tc>
          <w:tcPr>
            <w:tcW w:w="12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w:t>
            </w:r>
          </w:p>
        </w:tc>
        <w:tc>
          <w:tcPr>
            <w:tcW w:w="1240" w:type="dxa"/>
            <w:vAlign w:val="bottom"/>
          </w:tcPr>
          <w:p>
            <w:pPr>
              <w:spacing w:after="0"/>
              <w:rPr>
                <w:sz w:val="24"/>
                <w:szCs w:val="24"/>
                <w:color w:val="auto"/>
              </w:rPr>
            </w:pPr>
          </w:p>
        </w:tc>
      </w:tr>
      <w:tr>
        <w:trPr>
          <w:trHeight w:val="216"/>
        </w:trPr>
        <w:tc>
          <w:tcPr>
            <w:tcW w:w="10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8"/>
        </w:trPr>
        <w:tc>
          <w:tcPr>
            <w:tcW w:w="10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39"/>
        </w:trPr>
        <w:tc>
          <w:tcPr>
            <w:tcW w:w="10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Summit Midstream Partners, LP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2024</w:t>
            </w:r>
          </w:p>
        </w:tc>
        <w:tc>
          <w:tcPr>
            <w:tcW w:w="700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tc>
      </w:tr>
      <w:tr>
        <w:trPr>
          <w:trHeight w:val="432"/>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Summit Midstream GP, LLC, its general partner</w:t>
            </w:r>
          </w:p>
        </w:tc>
      </w:tr>
      <w:tr>
        <w:trPr>
          <w:trHeight w:val="439"/>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D. Johnston</w:t>
            </w:r>
          </w:p>
        </w:tc>
      </w:tr>
      <w:tr>
        <w:trPr>
          <w:trHeight w:val="196"/>
        </w:trPr>
        <w:tc>
          <w:tcPr>
            <w:tcW w:w="4240" w:type="dxa"/>
            <w:vAlign w:val="bottom"/>
          </w:tcPr>
          <w:p>
            <w:pPr>
              <w:spacing w:after="0"/>
              <w:rPr>
                <w:sz w:val="17"/>
                <w:szCs w:val="17"/>
                <w:color w:val="auto"/>
              </w:rPr>
            </w:pPr>
          </w:p>
        </w:tc>
        <w:tc>
          <w:tcPr>
            <w:tcW w:w="3080" w:type="dxa"/>
            <w:vAlign w:val="bottom"/>
          </w:tcPr>
          <w:p>
            <w:pPr>
              <w:ind w:left="2520"/>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James D. Johnston</w:t>
            </w:r>
          </w:p>
        </w:tc>
      </w:tr>
      <w:tr>
        <w:trPr>
          <w:trHeight w:val="216"/>
        </w:trPr>
        <w:tc>
          <w:tcPr>
            <w:tcW w:w="4240" w:type="dxa"/>
            <w:vAlign w:val="bottom"/>
          </w:tcPr>
          <w:p>
            <w:pPr>
              <w:spacing w:after="0"/>
              <w:rPr>
                <w:sz w:val="18"/>
                <w:szCs w:val="18"/>
                <w:color w:val="auto"/>
              </w:rPr>
            </w:pPr>
          </w:p>
        </w:tc>
        <w:tc>
          <w:tcPr>
            <w:tcW w:w="30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w:t>
            </w:r>
          </w:p>
        </w:tc>
      </w:tr>
      <w:tr>
        <w:trPr>
          <w:trHeight w:val="236"/>
        </w:trPr>
        <w:tc>
          <w:tcPr>
            <w:tcW w:w="4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tc>
      </w:tr>
      <w:tr>
        <w:trPr>
          <w:trHeight w:val="439"/>
        </w:trPr>
        <w:tc>
          <w:tcPr>
            <w:tcW w:w="4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2024-08-12T15:20:08Z</dcterms:created>
  <dcterms:modified xsi:type="dcterms:W3CDTF">2024-08-12T15:20:08Z</dcterms:modified>
</cp:coreProperties>
</file>