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d7326acc951741faa8737a8219551680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Form 10-Q</w:t>
      </w:r>
    </w:p>
    <w:p>
      <w:pPr>
        <w:pStyle w:val="TextBody"/>
        <w:bidi w:val="0"/>
        <w:spacing w:lineRule="auto" w:line="288" w:before="80" w:after="283"/>
        <w:jc w:val="left"/>
        <w:rPr>
          <w:rFonts w:ascii="Times New Roman;serif" w:hAnsi="Times New Roman;serif"/>
          <w:b/>
          <w:color w:val="000000"/>
          <w:sz w:val="18"/>
        </w:rPr>
      </w:pPr>
      <w:r>
        <w:rPr>
          <w:rFonts w:ascii="Times New Roman;serif" w:hAnsi="Times New Roman;serif"/>
          <w:b/>
          <w:color w:val="000000"/>
          <w:sz w:val="18"/>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x</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 xml:space="preserve">For the quarterly period ended June 30, 2026 </w:t>
      </w:r>
    </w:p>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8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For the transition period from        to        </w:t>
      </w:r>
    </w:p>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Commission file number: 001-42201</w:t>
      </w:r>
    </w:p>
    <w:p>
      <w:pPr>
        <w:pStyle w:val="TextBody"/>
        <w:bidi w:val="0"/>
        <w:spacing w:lineRule="auto" w:line="288" w:before="80" w:after="283"/>
        <w:jc w:val="center"/>
        <w:rPr>
          <w:rFonts w:ascii="Times New Roman;serif" w:hAnsi="Times New Roman;serif"/>
          <w:b/>
          <w:color w:val="000000"/>
          <w:sz w:val="32"/>
        </w:rPr>
      </w:pPr>
      <w:r>
        <w:rPr>
          <w:rFonts w:ascii="Times New Roman;serif" w:hAnsi="Times New Roman;serif"/>
          <w:b/>
          <w:color w:val="000000"/>
          <w:sz w:val="32"/>
        </w:rPr>
        <w:t>Summit Midstream Corporation</w:t>
      </w:r>
    </w:p>
    <w:p>
      <w:pPr>
        <w:pStyle w:val="TextBody"/>
        <w:bidi w:val="0"/>
        <w:spacing w:lineRule="auto" w:line="288" w:before="80" w:after="283"/>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Delaware</w:t>
      </w:r>
    </w:p>
    <w:p>
      <w:pPr>
        <w:pStyle w:val="TextBody"/>
        <w:bidi w:val="0"/>
        <w:spacing w:lineRule="auto" w:line="288" w:before="8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p>
      <w:pPr>
        <w:pStyle w:val="TextBody"/>
        <w:bidi w:val="0"/>
        <w:spacing w:lineRule="auto" w:line="288" w:before="80" w:after="283"/>
        <w:jc w:val="center"/>
        <w:rPr>
          <w:rFonts w:ascii="Times New Roman;serif" w:hAnsi="Times New Roman;serif"/>
          <w:b w:val="false"/>
          <w:color w:val="000000"/>
          <w:sz w:val="18"/>
        </w:rPr>
      </w:pPr>
      <w:r>
        <w:rPr>
          <w:rFonts w:ascii="Times New Roman;serif" w:hAnsi="Times New Roman;serif"/>
          <w:b w:val="false"/>
          <w:color w:val="000000"/>
          <w:sz w:val="18"/>
        </w:rPr>
        <w:t>incorporation or organization)</w:t>
      </w:r>
    </w:p>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910 Louisiana Street, Suite 4200</w:t>
      </w:r>
    </w:p>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Houston, TX</w:t>
      </w:r>
    </w:p>
    <w:p>
      <w:pPr>
        <w:pStyle w:val="TextBody"/>
        <w:bidi w:val="0"/>
        <w:spacing w:lineRule="auto" w:line="288" w:before="8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99-3056990</w:t>
      </w:r>
    </w:p>
    <w:p>
      <w:pPr>
        <w:pStyle w:val="TextBody"/>
        <w:bidi w:val="0"/>
        <w:spacing w:lineRule="auto" w:line="288" w:before="8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r>
    </w:p>
    <w:p>
      <w:pPr>
        <w:pStyle w:val="TextBody"/>
        <w:bidi w:val="0"/>
        <w:spacing w:lineRule="auto" w:line="288" w:before="80" w:after="283"/>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p>
      <w:pPr>
        <w:pStyle w:val="TextBody"/>
        <w:bidi w:val="0"/>
        <w:spacing w:before="80" w:after="283"/>
        <w:jc w:val="center"/>
        <w:rPr/>
      </w:pPr>
      <w:r>
        <w:rPr/>
      </w:r>
    </w:p>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77002</w:t>
      </w:r>
    </w:p>
    <w:p>
      <w:pPr>
        <w:pStyle w:val="TextBody"/>
        <w:bidi w:val="0"/>
        <w:spacing w:lineRule="auto" w:line="288" w:before="8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(832) 413-4770</w:t>
      </w:r>
    </w:p>
    <w:p>
      <w:pPr>
        <w:pStyle w:val="TextBody"/>
        <w:bidi w:val="0"/>
        <w:spacing w:lineRule="auto" w:line="288" w:before="80" w:after="283"/>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80" w:after="283"/>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p>
      <w:pPr>
        <w:pStyle w:val="TextBody"/>
        <w:bidi w:val="0"/>
        <w:spacing w:lineRule="auto" w:line="288" w:before="80" w:after="283"/>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827" w:type="dxa"/>
        <w:jc w:val="left"/>
        <w:tblInd w:w="0" w:type="dxa"/>
        <w:tblLayout w:type="fixed"/>
        <w:tblCellMar>
          <w:top w:w="28" w:type="dxa"/>
          <w:left w:w="28" w:type="dxa"/>
          <w:bottom w:w="28" w:type="dxa"/>
          <w:right w:w="28" w:type="dxa"/>
        </w:tblCellMar>
      </w:tblPr>
      <w:tblGrid>
        <w:gridCol w:w="1119"/>
        <w:gridCol w:w="986"/>
        <w:gridCol w:w="1000"/>
        <w:gridCol w:w="484"/>
        <w:gridCol w:w="484"/>
        <w:gridCol w:w="486"/>
        <w:gridCol w:w="509"/>
        <w:gridCol w:w="509"/>
        <w:gridCol w:w="509"/>
        <w:gridCol w:w="509"/>
        <w:gridCol w:w="509"/>
        <w:gridCol w:w="723"/>
      </w:tblGrid>
      <w:tr>
        <w:trPr/>
        <w:tc>
          <w:tcPr>
            <w:tcW w:w="111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8" w:type="dxa"/>
            <w:gridSpan w:val="6"/>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10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 per share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SMC</w:t>
            </w:r>
          </w:p>
        </w:tc>
        <w:tc>
          <w:tcPr>
            <w:tcW w:w="3268" w:type="dxa"/>
            <w:gridSpan w:val="6"/>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80" w:after="283"/>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Yes      </w:t>
      </w:r>
      <w:r>
        <w:rPr>
          <w:rFonts w:ascii="Wingdings;sans-serif" w:hAnsi="Wingdings;sans-serif"/>
          <w:b w:val="false"/>
          <w:color w:val="000000"/>
          <w:sz w:val="16"/>
        </w:rPr>
        <w:t>o</w:t>
      </w:r>
      <w:r>
        <w:rPr>
          <w:color w:val="000000"/>
        </w:rPr>
        <w:t>    </w:t>
      </w:r>
      <w:r>
        <w:rPr>
          <w:rFonts w:ascii="Times New Roman;serif" w:hAnsi="Times New Roman;serif"/>
          <w:b w:val="false"/>
          <w:color w:val="000000"/>
          <w:sz w:val="16"/>
        </w:rPr>
        <w:t>No</w:t>
      </w:r>
    </w:p>
    <w:p>
      <w:pPr>
        <w:pStyle w:val="TextBody"/>
        <w:bidi w:val="0"/>
        <w:spacing w:lineRule="auto" w:line="288" w:before="8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1436" w:type="dxa"/>
        <w:jc w:val="left"/>
        <w:tblInd w:w="0" w:type="dxa"/>
        <w:tblLayout w:type="fixed"/>
        <w:tblCellMar>
          <w:top w:w="28" w:type="dxa"/>
          <w:left w:w="28" w:type="dxa"/>
          <w:bottom w:w="28" w:type="dxa"/>
          <w:right w:w="28" w:type="dxa"/>
        </w:tblCellMar>
      </w:tblPr>
      <w:tblGrid>
        <w:gridCol w:w="124"/>
        <w:gridCol w:w="109"/>
        <w:gridCol w:w="109"/>
        <w:gridCol w:w="130"/>
        <w:gridCol w:w="130"/>
        <w:gridCol w:w="131"/>
        <w:gridCol w:w="109"/>
        <w:gridCol w:w="109"/>
        <w:gridCol w:w="109"/>
        <w:gridCol w:w="110"/>
        <w:gridCol w:w="110"/>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w:t>
            </w:r>
          </w:p>
        </w:tc>
      </w:tr>
    </w:tbl>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823" w:type="dxa"/>
        <w:jc w:val="left"/>
        <w:tblInd w:w="0" w:type="dxa"/>
        <w:tblLayout w:type="fixed"/>
        <w:tblCellMar>
          <w:top w:w="28" w:type="dxa"/>
          <w:left w:w="28" w:type="dxa"/>
          <w:bottom w:w="28" w:type="dxa"/>
          <w:right w:w="28" w:type="dxa"/>
        </w:tblCellMar>
      </w:tblPr>
      <w:tblGrid>
        <w:gridCol w:w="760"/>
        <w:gridCol w:w="668"/>
        <w:gridCol w:w="671"/>
        <w:gridCol w:w="109"/>
        <w:gridCol w:w="109"/>
        <w:gridCol w:w="109"/>
        <w:gridCol w:w="674"/>
        <w:gridCol w:w="674"/>
        <w:gridCol w:w="677"/>
        <w:gridCol w:w="109"/>
        <w:gridCol w:w="109"/>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Emerging growth company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serif" w:hAnsi="Times New Roman;serif"/>
          <w:b w:val="false"/>
          <w:color w:val="000000"/>
          <w:sz w:val="18"/>
        </w:rPr>
        <w:t>. </w:t>
      </w:r>
      <w:r>
        <w:rPr>
          <w:rFonts w:ascii="Wingdings;sans-serif" w:hAnsi="Wingdings;sans-serif"/>
          <w:b w:val="false"/>
          <w:color w:val="000000"/>
          <w:sz w:val="16"/>
        </w:rPr>
        <w:t>o</w:t>
      </w:r>
    </w:p>
    <w:p>
      <w:pPr>
        <w:pStyle w:val="TextBody"/>
        <w:bidi w:val="0"/>
        <w:spacing w:lineRule="auto" w:line="288" w:before="80" w:after="283"/>
        <w:jc w:val="left"/>
        <w:rPr/>
      </w:pPr>
      <w:r>
        <w:rPr>
          <w:rFonts w:ascii="Times New Roman;serif" w:hAnsi="Times New Roman;serif"/>
          <w:b w:val="false"/>
          <w:color w:val="000000"/>
          <w:sz w:val="16"/>
        </w:rPr>
        <w:t>Indicate by check mark whether the registrant is a shell company (as defined in Rule 12b-2 of the Exchange Act).</w:t>
      </w:r>
      <w:r>
        <w:rPr>
          <w:color w:val="000000"/>
        </w:rPr>
        <w:t> ☐ </w:t>
      </w:r>
      <w:r>
        <w:rPr>
          <w:rFonts w:ascii="Times New Roman;serif" w:hAnsi="Times New Roman;serif"/>
          <w:b w:val="false"/>
          <w:color w:val="000000"/>
          <w:sz w:val="18"/>
        </w:rPr>
        <w:t>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No</w:t>
      </w:r>
    </w:p>
    <w:p>
      <w:pPr>
        <w:pStyle w:val="TextBody"/>
        <w:bidi w:val="0"/>
        <w:spacing w:lineRule="auto" w:line="288" w:before="80" w:after="283"/>
        <w:jc w:val="left"/>
        <w:rPr>
          <w:rFonts w:ascii="Times New Roman;serif" w:hAnsi="Times New Roman;serif"/>
          <w:b w:val="false"/>
          <w:color w:val="000000"/>
          <w:sz w:val="16"/>
        </w:rPr>
      </w:pPr>
      <w:r>
        <w:rPr>
          <w:rFonts w:ascii="Times New Roman;serif" w:hAnsi="Times New Roman;serif"/>
          <w:b w:val="false"/>
          <w:color w:val="000000"/>
          <w:sz w:val="16"/>
        </w:rPr>
        <w:t>Indicate the number of shares outstanding of each of the issuer’s classes of common stock, as of the latest practicable date.</w:t>
      </w:r>
    </w:p>
    <w:tbl>
      <w:tblPr>
        <w:tblW w:w="5696" w:type="dxa"/>
        <w:jc w:val="left"/>
        <w:tblInd w:w="0" w:type="dxa"/>
        <w:tblLayout w:type="fixed"/>
        <w:tblCellMar>
          <w:top w:w="28" w:type="dxa"/>
          <w:left w:w="28" w:type="dxa"/>
          <w:bottom w:w="28" w:type="dxa"/>
          <w:right w:w="28" w:type="dxa"/>
        </w:tblCellMar>
      </w:tblPr>
      <w:tblGrid>
        <w:gridCol w:w="1333"/>
        <w:gridCol w:w="1176"/>
        <w:gridCol w:w="1195"/>
        <w:gridCol w:w="109"/>
        <w:gridCol w:w="109"/>
        <w:gridCol w:w="109"/>
        <w:gridCol w:w="486"/>
        <w:gridCol w:w="486"/>
        <w:gridCol w:w="693"/>
      </w:tblGrid>
      <w:tr>
        <w:trPr/>
        <w:tc>
          <w:tcPr>
            <w:tcW w:w="1333"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August 7, 2026</w:t>
            </w:r>
          </w:p>
        </w:tc>
      </w:tr>
      <w:tr>
        <w:trPr/>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13,783,618</w:t>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6,524,467</w:t>
            </w:r>
          </w:p>
        </w:tc>
      </w:tr>
    </w:tbl>
    <w:p>
      <w:pPr>
        <w:pStyle w:val="TextBody"/>
        <w:bidi w:val="0"/>
        <w:spacing w:before="8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9663" w:type="dxa"/>
        <w:jc w:val="left"/>
        <w:tblInd w:w="0" w:type="dxa"/>
        <w:tblLayout w:type="fixed"/>
        <w:tblCellMar>
          <w:top w:w="28" w:type="dxa"/>
          <w:left w:w="28" w:type="dxa"/>
          <w:bottom w:w="28" w:type="dxa"/>
          <w:right w:w="28" w:type="dxa"/>
        </w:tblCellMar>
      </w:tblPr>
      <w:tblGrid>
        <w:gridCol w:w="683"/>
        <w:gridCol w:w="599"/>
        <w:gridCol w:w="599"/>
        <w:gridCol w:w="2457"/>
        <w:gridCol w:w="2457"/>
        <w:gridCol w:w="2496"/>
        <w:gridCol w:w="109"/>
        <w:gridCol w:w="109"/>
        <w:gridCol w:w="154"/>
      </w:tblGrid>
      <w:tr>
        <w:trPr/>
        <w:tc>
          <w:tcPr>
            <w:tcW w:w="68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91" w:type="dxa"/>
            <w:gridSpan w:val="6"/>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d7326acc951741faa8737a8219551680_10">
              <w:r>
                <w:rPr>
                  <w:rStyle w:val="InternetLink"/>
                  <w:rFonts w:ascii="Times New Roman;serif" w:hAnsi="Times New Roman;serif"/>
                  <w:b w:val="false"/>
                  <w:color w:val="0000FF"/>
                  <w:sz w:val="20"/>
                  <w:u w:val="single"/>
                </w:rPr>
                <w:t>COMMONLY USED OR DEFINED TERMS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7326acc951741faa8737a8219551680_10">
              <w:r>
                <w:rPr>
                  <w:rStyle w:val="InternetLink"/>
                  <w:rFonts w:ascii="Times New Roman;serif" w:hAnsi="Times New Roman;serif"/>
                  <w:b w:val="false"/>
                  <w:color w:val="0000FF"/>
                  <w:sz w:val="20"/>
                  <w:u w:val="single"/>
                </w:rPr>
                <w:t>2</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7326acc951741faa8737a8219551680_13">
              <w:r>
                <w:rPr>
                  <w:rStyle w:val="InternetLink"/>
                  <w:rFonts w:ascii="Times New Roman;serif" w:hAnsi="Times New Roman;serif"/>
                  <w:b w:val="false"/>
                  <w:color w:val="0000FF"/>
                  <w:sz w:val="20"/>
                  <w:u w:val="single"/>
                </w:rPr>
                <w:t>PART I</w:t>
              </w:r>
            </w:hyperlink>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7326acc951741faa8737a8219551680_13">
              <w:r>
                <w:rPr>
                  <w:rStyle w:val="InternetLink"/>
                  <w:rFonts w:ascii="Times New Roman;serif" w:hAnsi="Times New Roman;serif"/>
                  <w:b w:val="false"/>
                  <w:color w:val="0000FF"/>
                  <w:sz w:val="20"/>
                  <w:u w:val="single"/>
                </w:rPr>
                <w:t>FINANCIAL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7326acc951741faa8737a8219551680_16">
              <w:r>
                <w:rPr>
                  <w:rStyle w:val="InternetLink"/>
                  <w:rFonts w:ascii="Times New Roman;serif" w:hAnsi="Times New Roman;serif"/>
                  <w:b w:val="false"/>
                  <w:strike w:val="false"/>
                  <w:dstrike w:val="false"/>
                  <w:color w:val="000000"/>
                  <w:sz w:val="20"/>
                  <w:u w:val="none"/>
                  <w:effect w:val="none"/>
                </w:rPr>
                <w:t>Item 1.</w:t>
              </w:r>
            </w:hyperlink>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7326acc951741faa8737a8219551680_16">
              <w:r>
                <w:rPr>
                  <w:rStyle w:val="InternetLink"/>
                  <w:rFonts w:ascii="Times New Roman;serif" w:hAnsi="Times New Roman;serif"/>
                  <w:b w:val="false"/>
                  <w:color w:val="0000FF"/>
                  <w:sz w:val="20"/>
                  <w:u w:val="single"/>
                </w:rPr>
                <w:t>Financial Statements.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7326acc951741faa8737a8219551680_19">
              <w:r>
                <w:rPr>
                  <w:rStyle w:val="InternetLink"/>
                  <w:rFonts w:ascii="Times New Roman;serif" w:hAnsi="Times New Roman;serif"/>
                  <w:b w:val="false"/>
                  <w:color w:val="0000FF"/>
                  <w:sz w:val="20"/>
                  <w:u w:val="single"/>
                </w:rPr>
                <w:t>Unaudited Condensed Consolidated Balance Sheets.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7326acc951741faa8737a8219551680_19">
              <w:r>
                <w:rPr>
                  <w:rStyle w:val="InternetLink"/>
                  <w:rFonts w:ascii="Times New Roman;serif" w:hAnsi="Times New Roman;serif"/>
                  <w:b w:val="false"/>
                  <w:color w:val="0000FF"/>
                  <w:sz w:val="20"/>
                  <w:u w:val="single"/>
                </w:rPr>
                <w:t>6</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7326acc951741faa8737a8219551680_22">
              <w:r>
                <w:rPr>
                  <w:rStyle w:val="InternetLink"/>
                  <w:rFonts w:ascii="Times New Roman;serif" w:hAnsi="Times New Roman;serif"/>
                  <w:b w:val="false"/>
                  <w:color w:val="0000FF"/>
                  <w:sz w:val="20"/>
                  <w:u w:val="single"/>
                </w:rPr>
                <w:t>Unaudited Condensed Consolidated Statements of Operations.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7326acc951741faa8737a8219551680_22">
              <w:r>
                <w:rPr>
                  <w:rStyle w:val="InternetLink"/>
                  <w:rFonts w:ascii="Times New Roman;serif" w:hAnsi="Times New Roman;serif"/>
                  <w:b w:val="false"/>
                  <w:color w:val="0000FF"/>
                  <w:sz w:val="20"/>
                  <w:u w:val="single"/>
                </w:rPr>
                <w:t>7</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7326acc951741faa8737a8219551680_25">
              <w:r>
                <w:rPr>
                  <w:rStyle w:val="InternetLink"/>
                  <w:rFonts w:ascii="Times New Roman;serif" w:hAnsi="Times New Roman;serif"/>
                  <w:b w:val="false"/>
                  <w:color w:val="0000FF"/>
                  <w:sz w:val="20"/>
                  <w:u w:val="single"/>
                </w:rPr>
                <w:t>Unaudited Condensed Consolidated Statements of Equity.</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7326acc951741faa8737a8219551680_25">
              <w:r>
                <w:rPr>
                  <w:rStyle w:val="InternetLink"/>
                  <w:rFonts w:ascii="Times New Roman;serif" w:hAnsi="Times New Roman;serif"/>
                  <w:b w:val="false"/>
                  <w:color w:val="0000FF"/>
                  <w:sz w:val="20"/>
                  <w:u w:val="single"/>
                </w:rPr>
                <w:t>8</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7326acc951741faa8737a8219551680_28">
              <w:r>
                <w:rPr>
                  <w:rStyle w:val="InternetLink"/>
                  <w:rFonts w:ascii="Times New Roman;serif" w:hAnsi="Times New Roman;serif"/>
                  <w:b w:val="false"/>
                  <w:color w:val="0000FF"/>
                  <w:sz w:val="20"/>
                  <w:u w:val="single"/>
                </w:rPr>
                <w:t>Unaudited Condensed Consolidated Statements of Cash Flows.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7326acc951741faa8737a8219551680_28">
              <w:r>
                <w:rPr>
                  <w:rStyle w:val="InternetLink"/>
                  <w:rFonts w:ascii="Times New Roman;serif" w:hAnsi="Times New Roman;serif"/>
                  <w:b w:val="false"/>
                  <w:color w:val="0000FF"/>
                  <w:sz w:val="20"/>
                  <w:u w:val="single"/>
                </w:rPr>
                <w:t>9</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7326acc951741faa8737a8219551680_31">
              <w:r>
                <w:rPr>
                  <w:rStyle w:val="InternetLink"/>
                  <w:rFonts w:ascii="Times New Roman;serif" w:hAnsi="Times New Roman;serif"/>
                  <w:b w:val="false"/>
                  <w:color w:val="0000FF"/>
                  <w:sz w:val="20"/>
                  <w:u w:val="single"/>
                </w:rPr>
                <w:t>Notes to Unaudited Condensed Consolidated Financial Statements</w:t>
              </w:r>
            </w:hyperlink>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7326acc951741faa8737a8219551680_31">
              <w:r>
                <w:rPr>
                  <w:rStyle w:val="InternetLink"/>
                  <w:rFonts w:ascii="Times New Roman;serif" w:hAnsi="Times New Roman;serif"/>
                  <w:b w:val="false"/>
                  <w:color w:val="0000FF"/>
                  <w:sz w:val="20"/>
                  <w:u w:val="single"/>
                </w:rPr>
                <w:t>10</w:t>
              </w:r>
            </w:hyperlink>
          </w:p>
        </w:tc>
      </w:tr>
      <w:tr>
        <w:trPr/>
        <w:tc>
          <w:tcPr>
            <w:tcW w:w="1881" w:type="dxa"/>
            <w:gridSpan w:val="3"/>
            <w:tcBorders/>
            <w:vAlign w:val="center"/>
          </w:tcPr>
          <w:p>
            <w:pPr>
              <w:pStyle w:val="TableContents"/>
              <w:bidi w:val="0"/>
              <w:spacing w:before="0" w:after="283"/>
              <w:jc w:val="left"/>
              <w:rPr>
                <w:sz w:val="4"/>
                <w:szCs w:val="4"/>
              </w:rPr>
            </w:pPr>
            <w:r>
              <w:rPr>
                <w:sz w:val="4"/>
                <w:szCs w:val="4"/>
              </w:rPr>
            </w:r>
          </w:p>
        </w:tc>
        <w:tc>
          <w:tcPr>
            <w:tcW w:w="741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881" w:type="dxa"/>
            <w:gridSpan w:val="3"/>
            <w:tcBorders/>
            <w:vAlign w:val="center"/>
          </w:tcPr>
          <w:p>
            <w:pPr>
              <w:pStyle w:val="TableContents"/>
              <w:bidi w:val="0"/>
              <w:spacing w:before="0" w:after="283"/>
              <w:jc w:val="left"/>
              <w:rPr>
                <w:sz w:val="4"/>
                <w:szCs w:val="4"/>
              </w:rPr>
            </w:pPr>
            <w:r>
              <w:rPr>
                <w:sz w:val="4"/>
                <w:szCs w:val="4"/>
              </w:rPr>
            </w:r>
          </w:p>
        </w:tc>
        <w:tc>
          <w:tcPr>
            <w:tcW w:w="741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881" w:type="dxa"/>
            <w:gridSpan w:val="3"/>
            <w:tcBorders/>
            <w:vAlign w:val="center"/>
          </w:tcPr>
          <w:p>
            <w:pPr>
              <w:pStyle w:val="TableContents"/>
              <w:bidi w:val="0"/>
              <w:spacing w:before="0" w:after="283"/>
              <w:jc w:val="left"/>
              <w:rPr>
                <w:sz w:val="4"/>
                <w:szCs w:val="4"/>
              </w:rPr>
            </w:pPr>
            <w:r>
              <w:rPr>
                <w:sz w:val="4"/>
                <w:szCs w:val="4"/>
              </w:rPr>
            </w:r>
          </w:p>
        </w:tc>
        <w:tc>
          <w:tcPr>
            <w:tcW w:w="741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881" w:type="dxa"/>
            <w:gridSpan w:val="3"/>
            <w:tcBorders/>
            <w:vAlign w:val="center"/>
          </w:tcPr>
          <w:p>
            <w:pPr>
              <w:pStyle w:val="TableContents"/>
              <w:bidi w:val="0"/>
              <w:spacing w:before="0" w:after="283"/>
              <w:jc w:val="left"/>
              <w:rPr>
                <w:sz w:val="4"/>
                <w:szCs w:val="4"/>
              </w:rPr>
            </w:pPr>
            <w:r>
              <w:rPr>
                <w:sz w:val="4"/>
                <w:szCs w:val="4"/>
              </w:rPr>
            </w:r>
          </w:p>
        </w:tc>
        <w:tc>
          <w:tcPr>
            <w:tcW w:w="741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881" w:type="dxa"/>
            <w:gridSpan w:val="3"/>
            <w:tcBorders/>
            <w:vAlign w:val="center"/>
          </w:tcPr>
          <w:p>
            <w:pPr>
              <w:pStyle w:val="TableContents"/>
              <w:bidi w:val="0"/>
              <w:spacing w:before="0" w:after="283"/>
              <w:jc w:val="left"/>
              <w:rPr>
                <w:sz w:val="4"/>
                <w:szCs w:val="4"/>
              </w:rPr>
            </w:pPr>
            <w:r>
              <w:rPr>
                <w:sz w:val="4"/>
                <w:szCs w:val="4"/>
              </w:rPr>
            </w:r>
          </w:p>
        </w:tc>
        <w:tc>
          <w:tcPr>
            <w:tcW w:w="741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881" w:type="dxa"/>
            <w:gridSpan w:val="3"/>
            <w:tcBorders/>
            <w:vAlign w:val="center"/>
          </w:tcPr>
          <w:p>
            <w:pPr>
              <w:pStyle w:val="TableContents"/>
              <w:bidi w:val="0"/>
              <w:spacing w:before="0" w:after="283"/>
              <w:jc w:val="left"/>
              <w:rPr>
                <w:sz w:val="4"/>
                <w:szCs w:val="4"/>
              </w:rPr>
            </w:pPr>
            <w:r>
              <w:rPr>
                <w:sz w:val="4"/>
                <w:szCs w:val="4"/>
              </w:rPr>
            </w:r>
          </w:p>
        </w:tc>
        <w:tc>
          <w:tcPr>
            <w:tcW w:w="741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881" w:type="dxa"/>
            <w:gridSpan w:val="3"/>
            <w:tcBorders/>
            <w:vAlign w:val="center"/>
          </w:tcPr>
          <w:p>
            <w:pPr>
              <w:pStyle w:val="TableContents"/>
              <w:bidi w:val="0"/>
              <w:spacing w:before="0" w:after="283"/>
              <w:jc w:val="left"/>
              <w:rPr>
                <w:sz w:val="4"/>
                <w:szCs w:val="4"/>
              </w:rPr>
            </w:pPr>
            <w:r>
              <w:rPr>
                <w:sz w:val="4"/>
                <w:szCs w:val="4"/>
              </w:rPr>
            </w:r>
          </w:p>
        </w:tc>
        <w:tc>
          <w:tcPr>
            <w:tcW w:w="741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881" w:type="dxa"/>
            <w:gridSpan w:val="3"/>
            <w:tcBorders/>
            <w:vAlign w:val="center"/>
          </w:tcPr>
          <w:p>
            <w:pPr>
              <w:pStyle w:val="TableContents"/>
              <w:bidi w:val="0"/>
              <w:spacing w:before="0" w:after="283"/>
              <w:jc w:val="left"/>
              <w:rPr>
                <w:sz w:val="4"/>
                <w:szCs w:val="4"/>
              </w:rPr>
            </w:pPr>
            <w:r>
              <w:rPr>
                <w:sz w:val="4"/>
                <w:szCs w:val="4"/>
              </w:rPr>
            </w:r>
          </w:p>
        </w:tc>
        <w:tc>
          <w:tcPr>
            <w:tcW w:w="741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881" w:type="dxa"/>
            <w:gridSpan w:val="3"/>
            <w:tcBorders/>
            <w:vAlign w:val="center"/>
          </w:tcPr>
          <w:p>
            <w:pPr>
              <w:pStyle w:val="TableContents"/>
              <w:bidi w:val="0"/>
              <w:spacing w:before="0" w:after="283"/>
              <w:jc w:val="left"/>
              <w:rPr>
                <w:sz w:val="4"/>
                <w:szCs w:val="4"/>
              </w:rPr>
            </w:pPr>
            <w:r>
              <w:rPr>
                <w:sz w:val="4"/>
                <w:szCs w:val="4"/>
              </w:rPr>
            </w:r>
          </w:p>
        </w:tc>
        <w:tc>
          <w:tcPr>
            <w:tcW w:w="741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881" w:type="dxa"/>
            <w:gridSpan w:val="3"/>
            <w:tcBorders/>
            <w:vAlign w:val="center"/>
          </w:tcPr>
          <w:p>
            <w:pPr>
              <w:pStyle w:val="TableContents"/>
              <w:bidi w:val="0"/>
              <w:spacing w:before="0" w:after="283"/>
              <w:jc w:val="left"/>
              <w:rPr>
                <w:sz w:val="4"/>
                <w:szCs w:val="4"/>
              </w:rPr>
            </w:pPr>
            <w:r>
              <w:rPr>
                <w:sz w:val="4"/>
                <w:szCs w:val="4"/>
              </w:rPr>
            </w:r>
          </w:p>
        </w:tc>
        <w:tc>
          <w:tcPr>
            <w:tcW w:w="741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881" w:type="dxa"/>
            <w:gridSpan w:val="3"/>
            <w:tcBorders/>
            <w:vAlign w:val="center"/>
          </w:tcPr>
          <w:p>
            <w:pPr>
              <w:pStyle w:val="TableContents"/>
              <w:bidi w:val="0"/>
              <w:spacing w:before="0" w:after="283"/>
              <w:jc w:val="left"/>
              <w:rPr>
                <w:sz w:val="4"/>
                <w:szCs w:val="4"/>
              </w:rPr>
            </w:pPr>
            <w:r>
              <w:rPr>
                <w:sz w:val="4"/>
                <w:szCs w:val="4"/>
              </w:rPr>
            </w:r>
          </w:p>
        </w:tc>
        <w:tc>
          <w:tcPr>
            <w:tcW w:w="741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881" w:type="dxa"/>
            <w:gridSpan w:val="3"/>
            <w:tcBorders/>
            <w:vAlign w:val="center"/>
          </w:tcPr>
          <w:p>
            <w:pPr>
              <w:pStyle w:val="TableContents"/>
              <w:bidi w:val="0"/>
              <w:spacing w:before="0" w:after="283"/>
              <w:jc w:val="left"/>
              <w:rPr>
                <w:sz w:val="4"/>
                <w:szCs w:val="4"/>
              </w:rPr>
            </w:pPr>
            <w:r>
              <w:rPr>
                <w:sz w:val="4"/>
                <w:szCs w:val="4"/>
              </w:rPr>
            </w:r>
          </w:p>
        </w:tc>
        <w:tc>
          <w:tcPr>
            <w:tcW w:w="741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881" w:type="dxa"/>
            <w:gridSpan w:val="3"/>
            <w:tcBorders/>
            <w:vAlign w:val="center"/>
          </w:tcPr>
          <w:p>
            <w:pPr>
              <w:pStyle w:val="TableContents"/>
              <w:bidi w:val="0"/>
              <w:spacing w:before="0" w:after="283"/>
              <w:jc w:val="left"/>
              <w:rPr>
                <w:sz w:val="4"/>
                <w:szCs w:val="4"/>
              </w:rPr>
            </w:pPr>
            <w:r>
              <w:rPr>
                <w:sz w:val="4"/>
                <w:szCs w:val="4"/>
              </w:rPr>
            </w:r>
          </w:p>
        </w:tc>
        <w:tc>
          <w:tcPr>
            <w:tcW w:w="741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881" w:type="dxa"/>
            <w:gridSpan w:val="3"/>
            <w:tcBorders/>
            <w:vAlign w:val="center"/>
          </w:tcPr>
          <w:p>
            <w:pPr>
              <w:pStyle w:val="TableContents"/>
              <w:bidi w:val="0"/>
              <w:spacing w:before="0" w:after="283"/>
              <w:jc w:val="left"/>
              <w:rPr>
                <w:sz w:val="4"/>
                <w:szCs w:val="4"/>
              </w:rPr>
            </w:pPr>
            <w:r>
              <w:rPr>
                <w:sz w:val="4"/>
                <w:szCs w:val="4"/>
              </w:rPr>
            </w:r>
          </w:p>
        </w:tc>
        <w:tc>
          <w:tcPr>
            <w:tcW w:w="741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881" w:type="dxa"/>
            <w:gridSpan w:val="3"/>
            <w:tcBorders/>
            <w:vAlign w:val="center"/>
          </w:tcPr>
          <w:p>
            <w:pPr>
              <w:pStyle w:val="TableContents"/>
              <w:bidi w:val="0"/>
              <w:spacing w:before="0" w:after="283"/>
              <w:jc w:val="left"/>
              <w:rPr>
                <w:sz w:val="4"/>
                <w:szCs w:val="4"/>
              </w:rPr>
            </w:pPr>
            <w:r>
              <w:rPr>
                <w:sz w:val="4"/>
                <w:szCs w:val="4"/>
              </w:rPr>
            </w:r>
          </w:p>
        </w:tc>
        <w:tc>
          <w:tcPr>
            <w:tcW w:w="741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881" w:type="dxa"/>
            <w:gridSpan w:val="3"/>
            <w:tcBorders/>
            <w:vAlign w:val="center"/>
          </w:tcPr>
          <w:p>
            <w:pPr>
              <w:pStyle w:val="TableContents"/>
              <w:bidi w:val="0"/>
              <w:spacing w:before="0" w:after="283"/>
              <w:jc w:val="left"/>
              <w:rPr>
                <w:sz w:val="4"/>
                <w:szCs w:val="4"/>
              </w:rPr>
            </w:pPr>
            <w:r>
              <w:rPr>
                <w:sz w:val="4"/>
                <w:szCs w:val="4"/>
              </w:rPr>
            </w:r>
          </w:p>
        </w:tc>
        <w:tc>
          <w:tcPr>
            <w:tcW w:w="741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7326acc951741faa8737a8219551680_88">
              <w:r>
                <w:rPr>
                  <w:rStyle w:val="InternetLink"/>
                  <w:rFonts w:ascii="Times New Roman;serif" w:hAnsi="Times New Roman;serif"/>
                  <w:b w:val="false"/>
                  <w:strike w:val="false"/>
                  <w:dstrike w:val="false"/>
                  <w:color w:val="000000"/>
                  <w:sz w:val="20"/>
                  <w:u w:val="none"/>
                  <w:effect w:val="none"/>
                </w:rPr>
                <w:t>Item 2.</w:t>
              </w:r>
            </w:hyperlink>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7326acc951741faa8737a8219551680_8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7326acc951741faa8737a8219551680_88">
              <w:r>
                <w:rPr>
                  <w:rStyle w:val="InternetLink"/>
                  <w:rFonts w:ascii="Times New Roman;serif" w:hAnsi="Times New Roman;serif"/>
                  <w:b w:val="false"/>
                  <w:color w:val="0000FF"/>
                  <w:sz w:val="20"/>
                  <w:u w:val="single"/>
                </w:rPr>
                <w:t>28</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7326acc951741faa8737a8219551680_154">
              <w:r>
                <w:rPr>
                  <w:rStyle w:val="InternetLink"/>
                  <w:rFonts w:ascii="Times New Roman;serif" w:hAnsi="Times New Roman;serif"/>
                  <w:b w:val="false"/>
                  <w:strike w:val="false"/>
                  <w:dstrike w:val="false"/>
                  <w:color w:val="000000"/>
                  <w:sz w:val="20"/>
                  <w:u w:val="none"/>
                  <w:effect w:val="none"/>
                </w:rPr>
                <w:t>Item 3.</w:t>
              </w:r>
            </w:hyperlink>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7326acc951741faa8737a8219551680_154">
              <w:r>
                <w:rPr>
                  <w:rStyle w:val="InternetLink"/>
                  <w:rFonts w:ascii="Times New Roman;serif" w:hAnsi="Times New Roman;serif"/>
                  <w:b w:val="false"/>
                  <w:color w:val="0000FF"/>
                  <w:sz w:val="20"/>
                  <w:u w:val="single"/>
                </w:rPr>
                <w:t>Quantitative and Qualitative Disclosures about Market Risk.</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7326acc951741faa8737a8219551680_154">
              <w:r>
                <w:rPr>
                  <w:rStyle w:val="InternetLink"/>
                  <w:rFonts w:ascii="Times New Roman;serif" w:hAnsi="Times New Roman;serif"/>
                  <w:b w:val="false"/>
                  <w:color w:val="0000FF"/>
                  <w:sz w:val="20"/>
                  <w:u w:val="single"/>
                </w:rPr>
                <w:t>49</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7326acc951741faa8737a8219551680_157">
              <w:r>
                <w:rPr>
                  <w:rStyle w:val="InternetLink"/>
                  <w:rFonts w:ascii="Times New Roman;serif" w:hAnsi="Times New Roman;serif"/>
                  <w:b w:val="false"/>
                  <w:strike w:val="false"/>
                  <w:dstrike w:val="false"/>
                  <w:color w:val="000000"/>
                  <w:sz w:val="20"/>
                  <w:u w:val="none"/>
                  <w:effect w:val="none"/>
                </w:rPr>
                <w:t>Item 4.</w:t>
              </w:r>
            </w:hyperlink>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7326acc951741faa8737a8219551680_157">
              <w:r>
                <w:rPr>
                  <w:rStyle w:val="InternetLink"/>
                  <w:rFonts w:ascii="Times New Roman;serif" w:hAnsi="Times New Roman;serif"/>
                  <w:b w:val="false"/>
                  <w:color w:val="0000FF"/>
                  <w:sz w:val="20"/>
                  <w:u w:val="single"/>
                </w:rPr>
                <w:t>Controls and Procedures.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7326acc951741faa8737a8219551680_157">
              <w:r>
                <w:rPr>
                  <w:rStyle w:val="InternetLink"/>
                  <w:rFonts w:ascii="Times New Roman;serif" w:hAnsi="Times New Roman;serif"/>
                  <w:b w:val="false"/>
                  <w:color w:val="0000FF"/>
                  <w:sz w:val="20"/>
                  <w:u w:val="single"/>
                </w:rPr>
                <w:t>49</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7326acc951741faa8737a8219551680_160">
              <w:r>
                <w:rPr>
                  <w:rStyle w:val="InternetLink"/>
                  <w:rFonts w:ascii="Times New Roman;serif" w:hAnsi="Times New Roman;serif"/>
                  <w:b w:val="false"/>
                  <w:color w:val="0000FF"/>
                  <w:sz w:val="20"/>
                  <w:u w:val="single"/>
                </w:rPr>
                <w:t>PART II</w:t>
              </w:r>
            </w:hyperlink>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7326acc951741faa8737a8219551680_160">
              <w:r>
                <w:rPr>
                  <w:rStyle w:val="InternetLink"/>
                  <w:rFonts w:ascii="Times New Roman;serif" w:hAnsi="Times New Roman;serif"/>
                  <w:b w:val="false"/>
                  <w:color w:val="0000FF"/>
                  <w:sz w:val="20"/>
                  <w:u w:val="single"/>
                </w:rPr>
                <w:t>OTHER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7326acc951741faa8737a8219551680_160">
              <w:r>
                <w:rPr>
                  <w:rStyle w:val="InternetLink"/>
                  <w:rFonts w:ascii="Times New Roman;serif" w:hAnsi="Times New Roman;serif"/>
                  <w:b w:val="false"/>
                  <w:color w:val="0000FF"/>
                  <w:sz w:val="20"/>
                  <w:u w:val="single"/>
                </w:rPr>
                <w:t>50</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7326acc951741faa8737a8219551680_163">
              <w:r>
                <w:rPr>
                  <w:rStyle w:val="InternetLink"/>
                  <w:rFonts w:ascii="Times New Roman;serif" w:hAnsi="Times New Roman;serif"/>
                  <w:b w:val="false"/>
                  <w:strike w:val="false"/>
                  <w:dstrike w:val="false"/>
                  <w:color w:val="000000"/>
                  <w:sz w:val="20"/>
                  <w:u w:val="none"/>
                  <w:effect w:val="none"/>
                </w:rPr>
                <w:t>Item 1.</w:t>
              </w:r>
            </w:hyperlink>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7326acc951741faa8737a8219551680_163">
              <w:r>
                <w:rPr>
                  <w:rStyle w:val="InternetLink"/>
                  <w:rFonts w:ascii="Times New Roman;serif" w:hAnsi="Times New Roman;serif"/>
                  <w:b w:val="false"/>
                  <w:color w:val="0000FF"/>
                  <w:sz w:val="20"/>
                  <w:u w:val="single"/>
                </w:rPr>
                <w:t>Legal Proceedings.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7326acc951741faa8737a8219551680_163">
              <w:r>
                <w:rPr>
                  <w:rStyle w:val="InternetLink"/>
                  <w:rFonts w:ascii="Times New Roman;serif" w:hAnsi="Times New Roman;serif"/>
                  <w:b w:val="false"/>
                  <w:color w:val="0000FF"/>
                  <w:sz w:val="20"/>
                  <w:u w:val="single"/>
                </w:rPr>
                <w:t>50</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7326acc951741faa8737a8219551680_166">
              <w:r>
                <w:rPr>
                  <w:rStyle w:val="InternetLink"/>
                  <w:rFonts w:ascii="Times New Roman;serif" w:hAnsi="Times New Roman;serif"/>
                  <w:b w:val="false"/>
                  <w:strike w:val="false"/>
                  <w:dstrike w:val="false"/>
                  <w:color w:val="000000"/>
                  <w:sz w:val="20"/>
                  <w:u w:val="none"/>
                  <w:effect w:val="none"/>
                </w:rPr>
                <w:t>Item 1A.</w:t>
              </w:r>
            </w:hyperlink>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7326acc951741faa8737a8219551680_166">
              <w:r>
                <w:rPr>
                  <w:rStyle w:val="InternetLink"/>
                  <w:rFonts w:ascii="Times New Roman;serif" w:hAnsi="Times New Roman;serif"/>
                  <w:b w:val="false"/>
                  <w:color w:val="0000FF"/>
                  <w:sz w:val="20"/>
                  <w:u w:val="single"/>
                </w:rPr>
                <w:t>Risk Factors.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7326acc951741faa8737a8219551680_166">
              <w:r>
                <w:rPr>
                  <w:rStyle w:val="InternetLink"/>
                  <w:rFonts w:ascii="Times New Roman;serif" w:hAnsi="Times New Roman;serif"/>
                  <w:b w:val="false"/>
                  <w:color w:val="0000FF"/>
                  <w:sz w:val="20"/>
                  <w:u w:val="single"/>
                </w:rPr>
                <w:t>51</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2. </w:t>
            </w:r>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7326acc951741faa8737a8219551680_1357">
              <w:r>
                <w:rPr>
                  <w:rStyle w:val="InternetLink"/>
                  <w:rFonts w:ascii="Times New Roman;serif" w:hAnsi="Times New Roman;serif"/>
                  <w:b w:val="false"/>
                  <w:color w:val="000080"/>
                  <w:sz w:val="20"/>
                  <w:u w:val="single"/>
                </w:rPr>
                <w:t>U</w:t>
              </w:r>
            </w:hyperlink>
            <w:hyperlink w:anchor="id7326acc951741faa8737a8219551680_1357">
              <w:r>
                <w:rPr>
                  <w:rStyle w:val="InternetLink"/>
                  <w:rFonts w:ascii="Times New Roman;serif" w:hAnsi="Times New Roman;serif"/>
                  <w:b w:val="false"/>
                  <w:color w:val="000080"/>
                  <w:sz w:val="20"/>
                  <w:u w:val="single"/>
                </w:rPr>
                <w:t>nregistered Sale</w:t>
              </w:r>
            </w:hyperlink>
            <w:hyperlink w:anchor="id7326acc951741faa8737a8219551680_1357">
              <w:r>
                <w:rPr>
                  <w:rStyle w:val="InternetLink"/>
                  <w:rFonts w:ascii="Times New Roman;serif" w:hAnsi="Times New Roman;serif"/>
                  <w:b w:val="false"/>
                  <w:color w:val="000080"/>
                  <w:sz w:val="20"/>
                  <w:u w:val="single"/>
                </w:rPr>
                <w:t>s</w:t>
              </w:r>
            </w:hyperlink>
            <w:hyperlink w:anchor="id7326acc951741faa8737a8219551680_1357">
              <w:r>
                <w:rPr>
                  <w:rStyle w:val="InternetLink"/>
                  <w:rFonts w:ascii="Times New Roman;serif" w:hAnsi="Times New Roman;serif"/>
                  <w:b w:val="false"/>
                  <w:color w:val="000080"/>
                  <w:sz w:val="20"/>
                  <w:u w:val="single"/>
                </w:rPr>
                <w:t xml:space="preserve"> of Equity Securities and Use of Proceeds.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7326acc951741faa8737a8219551680_1357">
              <w:r>
                <w:rPr>
                  <w:rStyle w:val="InternetLink"/>
                  <w:rFonts w:ascii="Times New Roman;serif" w:hAnsi="Times New Roman;serif"/>
                  <w:b w:val="false"/>
                  <w:color w:val="0000FF"/>
                  <w:sz w:val="20"/>
                  <w:u w:val="single"/>
                </w:rPr>
                <w:t>52</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7326acc951741faa8737a8219551680_1376">
              <w:r>
                <w:rPr>
                  <w:rStyle w:val="InternetLink"/>
                  <w:rFonts w:ascii="Times New Roman;serif" w:hAnsi="Times New Roman;serif"/>
                  <w:b w:val="false"/>
                  <w:color w:val="000080"/>
                  <w:sz w:val="20"/>
                  <w:u w:val="single"/>
                </w:rPr>
                <w:t xml:space="preserve">Defaults </w:t>
              </w:r>
            </w:hyperlink>
            <w:hyperlink w:anchor="id7326acc951741faa8737a8219551680_1376">
              <w:r>
                <w:rPr>
                  <w:rStyle w:val="InternetLink"/>
                  <w:rFonts w:ascii="Times New Roman;serif" w:hAnsi="Times New Roman;serif"/>
                  <w:b w:val="false"/>
                  <w:color w:val="000080"/>
                  <w:sz w:val="20"/>
                  <w:u w:val="single"/>
                </w:rPr>
                <w:t>Upon Senior Securities</w:t>
              </w:r>
            </w:hyperlink>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7326acc951741faa8737a8219551680_1376">
              <w:r>
                <w:rPr>
                  <w:rStyle w:val="InternetLink"/>
                  <w:rFonts w:ascii="Times New Roman;serif" w:hAnsi="Times New Roman;serif"/>
                  <w:b w:val="false"/>
                  <w:color w:val="0000FF"/>
                  <w:sz w:val="20"/>
                  <w:u w:val="single"/>
                </w:rPr>
                <w:t>52</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7326acc951741faa8737a8219551680_1381">
              <w:r>
                <w:rPr>
                  <w:rStyle w:val="InternetLink"/>
                  <w:rFonts w:ascii="Times New Roman;serif" w:hAnsi="Times New Roman;serif"/>
                  <w:b w:val="false"/>
                  <w:color w:val="000080"/>
                  <w:sz w:val="20"/>
                  <w:u w:val="single"/>
                </w:rPr>
                <w:t>M</w:t>
              </w:r>
            </w:hyperlink>
            <w:hyperlink w:anchor="id7326acc951741faa8737a8219551680_1381">
              <w:r>
                <w:rPr>
                  <w:rStyle w:val="InternetLink"/>
                  <w:rFonts w:ascii="Times New Roman;serif" w:hAnsi="Times New Roman;serif"/>
                  <w:b w:val="false"/>
                  <w:color w:val="000080"/>
                  <w:sz w:val="20"/>
                  <w:u w:val="single"/>
                </w:rPr>
                <w:t>ine Safety Disclosure</w:t>
              </w:r>
            </w:hyperlink>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7326acc951741faa8737a8219551680_1381">
              <w:r>
                <w:rPr>
                  <w:rStyle w:val="InternetLink"/>
                  <w:rFonts w:ascii="Times New Roman;serif" w:hAnsi="Times New Roman;serif"/>
                  <w:b w:val="false"/>
                  <w:color w:val="0000FF"/>
                  <w:sz w:val="20"/>
                  <w:u w:val="single"/>
                </w:rPr>
                <w:t>52</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7326acc951741faa8737a8219551680_169">
              <w:r>
                <w:rPr>
                  <w:rStyle w:val="InternetLink"/>
                  <w:rFonts w:ascii="Times New Roman;serif" w:hAnsi="Times New Roman;serif"/>
                  <w:b w:val="false"/>
                  <w:strike w:val="false"/>
                  <w:dstrike w:val="false"/>
                  <w:color w:val="000000"/>
                  <w:sz w:val="20"/>
                  <w:u w:val="none"/>
                  <w:effect w:val="none"/>
                </w:rPr>
                <w:t>Item 5.</w:t>
              </w:r>
            </w:hyperlink>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7326acc951741faa8737a8219551680_169">
              <w:r>
                <w:rPr>
                  <w:rStyle w:val="InternetLink"/>
                  <w:rFonts w:ascii="Times New Roman;serif" w:hAnsi="Times New Roman;serif"/>
                  <w:b w:val="false"/>
                  <w:color w:val="0000FF"/>
                  <w:sz w:val="20"/>
                  <w:u w:val="single"/>
                </w:rPr>
                <w:t>Other Information</w:t>
              </w:r>
            </w:hyperlink>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7326acc951741faa8737a8219551680_169">
              <w:r>
                <w:rPr>
                  <w:rStyle w:val="InternetLink"/>
                  <w:rFonts w:ascii="Times New Roman;serif" w:hAnsi="Times New Roman;serif"/>
                  <w:b w:val="false"/>
                  <w:color w:val="0000FF"/>
                  <w:sz w:val="20"/>
                  <w:u w:val="single"/>
                </w:rPr>
                <w:t>52</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7326acc951741faa8737a8219551680_175">
              <w:r>
                <w:rPr>
                  <w:rStyle w:val="InternetLink"/>
                  <w:rFonts w:ascii="Times New Roman;serif" w:hAnsi="Times New Roman;serif"/>
                  <w:b w:val="false"/>
                  <w:strike w:val="false"/>
                  <w:dstrike w:val="false"/>
                  <w:color w:val="000000"/>
                  <w:sz w:val="20"/>
                  <w:u w:val="none"/>
                  <w:effect w:val="none"/>
                </w:rPr>
                <w:t>Item 6.</w:t>
              </w:r>
            </w:hyperlink>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7326acc951741faa8737a8219551680_175">
              <w:r>
                <w:rPr>
                  <w:rStyle w:val="InternetLink"/>
                  <w:rFonts w:ascii="Times New Roman;serif" w:hAnsi="Times New Roman;serif"/>
                  <w:b w:val="false"/>
                  <w:color w:val="0000FF"/>
                  <w:sz w:val="20"/>
                  <w:u w:val="single"/>
                </w:rPr>
                <w:t>Exhibits.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7326acc951741faa8737a8219551680_175">
              <w:r>
                <w:rPr>
                  <w:rStyle w:val="InternetLink"/>
                  <w:rFonts w:ascii="Times New Roman;serif" w:hAnsi="Times New Roman;serif"/>
                  <w:b w:val="false"/>
                  <w:color w:val="0000FF"/>
                  <w:sz w:val="20"/>
                  <w:u w:val="single"/>
                </w:rPr>
                <w:t>53</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1"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7326acc951741faa8737a8219551680_178">
              <w:r>
                <w:rPr>
                  <w:rStyle w:val="InternetLink"/>
                  <w:rFonts w:ascii="Times New Roman;serif" w:hAnsi="Times New Roman;serif"/>
                  <w:b w:val="false"/>
                  <w:color w:val="0000FF"/>
                  <w:sz w:val="20"/>
                  <w:u w:val="single"/>
                </w:rPr>
                <w:t>SIGNATURES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7326acc951741faa8737a8219551680_178">
              <w:r>
                <w:rPr>
                  <w:rStyle w:val="InternetLink"/>
                  <w:rFonts w:ascii="Times New Roman;serif" w:hAnsi="Times New Roman;serif"/>
                  <w:b w:val="false"/>
                  <w:color w:val="0000FF"/>
                  <w:sz w:val="20"/>
                  <w:u w:val="single"/>
                </w:rPr>
                <w:t>54</w:t>
              </w:r>
            </w:hyperlink>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22885"/>
                <wp:effectExtent l="0" t="0" r="0" b="0"/>
                <wp:wrapNone/>
                <wp:docPr id="2" name="Frame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COMMONLY USED OR DEFINED TERMS</w:t>
      </w:r>
    </w:p>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902"/>
        <w:gridCol w:w="433"/>
        <w:gridCol w:w="436"/>
        <w:gridCol w:w="2814"/>
        <w:gridCol w:w="2320"/>
        <w:gridCol w:w="3300"/>
      </w:tblGrid>
      <w:tr>
        <w:trPr/>
        <w:tc>
          <w:tcPr>
            <w:tcW w:w="90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14"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3300" w:type="dxa"/>
            <w:tcBorders/>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2015 Blacktail Release</w:t>
            </w:r>
          </w:p>
        </w:tc>
        <w:tc>
          <w:tcPr>
            <w:tcW w:w="8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 2015 rupture of our four-inch produced water gathering pipeline near Williston, North Dakota</w:t>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8434"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8434"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8434"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8434"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8434"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8434"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8434"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8434"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8434"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8434"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8434"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8434"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 Secured Notes</w:t>
            </w:r>
          </w:p>
        </w:tc>
        <w:tc>
          <w:tcPr>
            <w:tcW w:w="843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Summit Holdings’ 8.625% Senior Secured Second Lien Notes due October 2029</w:t>
            </w:r>
          </w:p>
          <w:p>
            <w:pPr>
              <w:pStyle w:val="TableContents"/>
              <w:bidi w:val="0"/>
              <w:spacing w:before="0" w:after="0"/>
              <w:jc w:val="left"/>
              <w:rPr/>
            </w:pPr>
            <w:r>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8434"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ABL Agreement</w:t>
            </w:r>
          </w:p>
        </w:tc>
        <w:tc>
          <w:tcPr>
            <w:tcW w:w="843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Loan and Security Agreement, dated as of November 2, 2021, among Summit Holdings, as borrower, SMLP and certain subsidiaries from time to time party thereto, as guarantors, Bank of America, N.A., as agent, ING Capital LLC, Royal Bank of Canada and Regions Bank, as co-syndication agents, and Bank of America, N.A., ING Capital LLC, RBC Capital Markets and Regions Capital Markets, as joint lead arrangers and joint bookrunners</w:t>
            </w:r>
          </w:p>
          <w:p>
            <w:pPr>
              <w:pStyle w:val="TableContents"/>
              <w:bidi w:val="0"/>
              <w:spacing w:before="0" w:after="0"/>
              <w:jc w:val="left"/>
              <w:rPr/>
            </w:pPr>
            <w:r>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ABL Facility</w:t>
            </w:r>
          </w:p>
        </w:tc>
        <w:tc>
          <w:tcPr>
            <w:tcW w:w="8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asset-based lending credit facility governed by the ABL Agreement</w:t>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2029 Secured Notes</w:t>
            </w:r>
          </w:p>
        </w:tc>
        <w:tc>
          <w:tcPr>
            <w:tcW w:w="8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$250,000,000 in aggregate principal amount of 2029 Secured Notes issued on January</w:t>
              <w:br/>
              <w:t>10, 2025</w:t>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Amended and Restated ABL Agreement</w:t>
            </w:r>
          </w:p>
        </w:tc>
        <w:tc>
          <w:tcPr>
            <w:tcW w:w="84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Amended and Restated Loan and Security Agreement, dated as of July 26, 2024, among Summit Holdings, as borrower, SMLP and certain subsidiaries from time to time party thereto, as guarantors, Bank of America, N.A., as agent, and Bank of America, N.A., Royal Bank of Canada, Regions Capital Markets, TD Securities (USA) LLC, JPMorgan Chase Bank, N.A, Citizens Bank, N.A., and Truist Bank, as joint lead arrangers and joint bookrunners</w:t>
            </w:r>
          </w:p>
          <w:p>
            <w:pPr>
              <w:pStyle w:val="TableContents"/>
              <w:bidi w:val="0"/>
              <w:spacing w:before="0" w:after="0"/>
              <w:jc w:val="left"/>
              <w:rPr/>
            </w:pPr>
            <w:r>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Amended and Restated ABL Facility </w:t>
            </w:r>
          </w:p>
        </w:tc>
        <w:tc>
          <w:tcPr>
            <w:tcW w:w="8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asset-based lending credit facility governed by the Amended and Restated ABL Agreement</w:t>
            </w:r>
          </w:p>
          <w:p>
            <w:pPr>
              <w:pStyle w:val="TableContents"/>
              <w:bidi w:val="0"/>
              <w:spacing w:before="0" w:after="0"/>
              <w:jc w:val="left"/>
              <w:rPr/>
            </w:pPr>
            <w:r>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8434"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8434"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8434"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8434"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ASU</w:t>
            </w:r>
          </w:p>
        </w:tc>
        <w:tc>
          <w:tcPr>
            <w:tcW w:w="8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Update</w:t>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8434"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8434"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8434"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Bcf/d</w:t>
            </w:r>
          </w:p>
        </w:tc>
        <w:tc>
          <w:tcPr>
            <w:tcW w:w="8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equivalent of one billion cubic feet per day; generally calculated when liquids are converted into natural gas; determined using a ratio of six thousand cubic feet of natural gas to one barrel of liquids</w:t>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8434"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Board of Directors</w:t>
            </w:r>
          </w:p>
        </w:tc>
        <w:tc>
          <w:tcPr>
            <w:tcW w:w="84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board of directors of Summit Midstream Corporation</w:t>
            </w:r>
          </w:p>
          <w:p>
            <w:pPr>
              <w:pStyle w:val="TableContents"/>
              <w:bidi w:val="0"/>
              <w:spacing w:before="0" w:after="0"/>
              <w:jc w:val="left"/>
              <w:rPr/>
            </w:pPr>
            <w:r>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8434"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8434"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8434"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8434"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8434"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8434"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8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of the Company, par value $0.01 per share</w:t>
            </w:r>
          </w:p>
          <w:p>
            <w:pPr>
              <w:pStyle w:val="TableContents"/>
              <w:bidi w:val="0"/>
              <w:spacing w:before="0" w:after="0"/>
              <w:jc w:val="left"/>
              <w:rPr/>
            </w:pPr>
            <w:r>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84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of the Company, par value $0.01 per share</w:t>
            </w:r>
          </w:p>
          <w:p>
            <w:pPr>
              <w:pStyle w:val="TableContents"/>
              <w:bidi w:val="0"/>
              <w:spacing w:before="0" w:after="0"/>
              <w:jc w:val="left"/>
              <w:rPr/>
            </w:pPr>
            <w:r>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Compensation Committee</w:t>
            </w:r>
          </w:p>
        </w:tc>
        <w:tc>
          <w:tcPr>
            <w:tcW w:w="8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compensation committee of the Board of Directors</w:t>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condensate</w:t>
            </w:r>
          </w:p>
        </w:tc>
        <w:tc>
          <w:tcPr>
            <w:tcW w:w="8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 natural gas liquid with a low vapor pressure, mainly composed of propane, butane, pentane, and heavier hydrocarbon fractions</w:t>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8434"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Corporate Reorganization</w:t>
            </w:r>
          </w:p>
        </w:tc>
        <w:tc>
          <w:tcPr>
            <w:tcW w:w="8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August 1, 2024 consummation of a transaction that resulted in SMLP becoming a wholly owned subsidiary of a newly formed Delaware corporation, Summit Midstream Corporation (taxed as a C-corporation)</w:t>
            </w:r>
          </w:p>
          <w:p>
            <w:pPr>
              <w:pStyle w:val="TableContents"/>
              <w:bidi w:val="0"/>
              <w:spacing w:before="0" w:after="0"/>
              <w:jc w:val="left"/>
              <w:rPr/>
            </w:pPr>
            <w:r>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8434"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8434"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8434"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DJ Basin</w:t>
            </w:r>
          </w:p>
        </w:tc>
        <w:tc>
          <w:tcPr>
            <w:tcW w:w="8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Denver-Julesburg Basin</w:t>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8434"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8434"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DOJ</w:t>
            </w:r>
          </w:p>
        </w:tc>
        <w:tc>
          <w:tcPr>
            <w:tcW w:w="8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 Department of Justice</w:t>
            </w:r>
          </w:p>
          <w:p>
            <w:pPr>
              <w:pStyle w:val="TableContents"/>
              <w:bidi w:val="0"/>
              <w:spacing w:before="0" w:after="0"/>
              <w:jc w:val="left"/>
              <w:rPr/>
            </w:pPr>
            <w:r>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843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22885"/>
                <wp:effectExtent l="0" t="0" r="0" b="0"/>
                <wp:wrapNone/>
                <wp:docPr id="3"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92"/>
        <w:gridCol w:w="481"/>
        <w:gridCol w:w="415"/>
        <w:gridCol w:w="2817"/>
        <w:gridCol w:w="2388"/>
        <w:gridCol w:w="3312"/>
      </w:tblGrid>
      <w:tr>
        <w:trPr/>
        <w:tc>
          <w:tcPr>
            <w:tcW w:w="79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817"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c>
          <w:tcPr>
            <w:tcW w:w="3312" w:type="dxa"/>
            <w:tcBorders/>
            <w:vAlign w:val="center"/>
          </w:tcPr>
          <w:p>
            <w:pPr>
              <w:pStyle w:val="TableContents"/>
              <w:bidi w:val="0"/>
              <w:spacing w:before="0" w:after="283"/>
              <w:jc w:val="left"/>
              <w:rPr>
                <w:sz w:val="4"/>
                <w:szCs w:val="4"/>
              </w:rPr>
            </w:pPr>
            <w:r>
              <w:rPr>
                <w:sz w:val="4"/>
                <w:szCs w:val="4"/>
              </w:rPr>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Double E</w:t>
            </w:r>
          </w:p>
        </w:tc>
        <w:tc>
          <w:tcPr>
            <w:tcW w:w="85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Double E Pipeline, LLC</w:t>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Double E Pipeline</w:t>
            </w:r>
          </w:p>
        </w:tc>
        <w:tc>
          <w:tcPr>
            <w:tcW w:w="85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135 mile, 1.6 Bcf/d, FERC-regulated interstate natural gas transmission pipeline that provides transportation service from multiple receipt points in the Delaware Basin to various delivery points in and around the Waha hub in Texas </w:t>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8517"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8517"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Dth</w:t>
            </w:r>
          </w:p>
        </w:tc>
        <w:tc>
          <w:tcPr>
            <w:tcW w:w="85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one million British thermal units</w:t>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8517"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EPA</w:t>
            </w:r>
          </w:p>
        </w:tc>
        <w:tc>
          <w:tcPr>
            <w:tcW w:w="85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Protection Agency</w:t>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8517"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8517"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EPS</w:t>
            </w:r>
          </w:p>
        </w:tc>
        <w:tc>
          <w:tcPr>
            <w:tcW w:w="85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earnings or loss per share</w:t>
            </w:r>
          </w:p>
          <w:p>
            <w:pPr>
              <w:pStyle w:val="TableContents"/>
              <w:bidi w:val="0"/>
              <w:spacing w:before="0" w:after="0"/>
              <w:jc w:val="left"/>
              <w:rPr/>
            </w:pPr>
            <w:r>
              <w:rPr/>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8517"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8517"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85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Exchange Act of 1934, as amended</w:t>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85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FERC</w:t>
            </w:r>
          </w:p>
        </w:tc>
        <w:tc>
          <w:tcPr>
            <w:tcW w:w="85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 Energy Regulatory Commission</w:t>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FID</w:t>
            </w:r>
          </w:p>
        </w:tc>
        <w:tc>
          <w:tcPr>
            <w:tcW w:w="85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Final Investment Decision</w:t>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Finance Corp.</w:t>
            </w:r>
          </w:p>
        </w:tc>
        <w:tc>
          <w:tcPr>
            <w:tcW w:w="85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Summit Midstream Finance Corp.</w:t>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8517"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8517"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8517"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Fundare</w:t>
            </w:r>
          </w:p>
        </w:tc>
        <w:tc>
          <w:tcPr>
            <w:tcW w:w="85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Fundare Resources Company HoldCo, LLC and, solely for purposes of Section 9.19 of the Moonrise Acquisition (as defined below) purchase agreement, Fundare Resources Company, LLC</w:t>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85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principles generally accepted in the United States of America</w:t>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8517"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8517"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8517"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8517"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8517"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8517"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8517"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8517"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hub</w:t>
            </w:r>
          </w:p>
        </w:tc>
        <w:tc>
          <w:tcPr>
            <w:tcW w:w="85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geographic location of a storage facility and multiple pipeline interconnections</w:t>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8517"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8517"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8517"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Intercreditor Agreement</w:t>
            </w:r>
          </w:p>
        </w:tc>
        <w:tc>
          <w:tcPr>
            <w:tcW w:w="85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Intercreditor Agreement, dated as of November 2, 2021, by and among Bank of America, N.A., as first lien representative and collateral agent for the initial first lien claimholders, Regions Bank, as second lien representative for the initial second lien claimholders and as collateral agent for the initial second lien claimholders, acknowledged and agreed to by Summit Holdings and the other grantors referred to therein as reaffirmed and modified by</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Notice of Reaffirmation</w:t>
            </w:r>
          </w:p>
          <w:p>
            <w:pPr>
              <w:pStyle w:val="TableContents"/>
              <w:bidi w:val="0"/>
              <w:spacing w:before="0" w:after="0"/>
              <w:jc w:val="left"/>
              <w:rPr/>
            </w:pPr>
            <w:r>
              <w:rPr/>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8517"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8517"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8517"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8517"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8517"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8517"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Legacy Permian Transmission Credit Facilities</w:t>
            </w:r>
          </w:p>
        </w:tc>
        <w:tc>
          <w:tcPr>
            <w:tcW w:w="85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credit facilities governed by the Credit Agreement, dated as of March 8, 2021, among Summit Permian Transmission, as borrower, MUFG Bank Ltd., as administrative agent, Mizuho Bank (USA), as collateral agent, ING Capital LLC, Mizuho Bank, Ltd. and MUFG Union Bank, N.A., as L/C issuers, coordinating lead arrangers and joint bookrunners, and the lenders from time to time party thereto. This facility was paid off in full on March 16, 2026 by the New Permian Transmission Facility.</w:t>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Mbbl/d</w:t>
            </w:r>
          </w:p>
        </w:tc>
        <w:tc>
          <w:tcPr>
            <w:tcW w:w="85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one thousand barrels per day</w:t>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8517"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8517"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Meadowlark Midstream</w:t>
            </w:r>
          </w:p>
        </w:tc>
        <w:tc>
          <w:tcPr>
            <w:tcW w:w="85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Meadowlark Midstream Company, LLC</w:t>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MMBTU</w:t>
            </w:r>
          </w:p>
        </w:tc>
        <w:tc>
          <w:tcPr>
            <w:tcW w:w="85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metric million British thermal units</w:t>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MMcf/d</w:t>
            </w:r>
          </w:p>
        </w:tc>
        <w:tc>
          <w:tcPr>
            <w:tcW w:w="85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one million cubic feet per day</w:t>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Moonrise</w:t>
            </w:r>
          </w:p>
        </w:tc>
        <w:tc>
          <w:tcPr>
            <w:tcW w:w="851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Moonrise Midstream, LLC</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4"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61"/>
        <w:gridCol w:w="466"/>
        <w:gridCol w:w="469"/>
        <w:gridCol w:w="2663"/>
        <w:gridCol w:w="2459"/>
        <w:gridCol w:w="3487"/>
      </w:tblGrid>
      <w:tr>
        <w:trPr/>
        <w:tc>
          <w:tcPr>
            <w:tcW w:w="66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3487" w:type="dxa"/>
            <w:tcBorders/>
            <w:vAlign w:val="center"/>
          </w:tcPr>
          <w:p>
            <w:pPr>
              <w:pStyle w:val="TableContents"/>
              <w:bidi w:val="0"/>
              <w:spacing w:before="0" w:after="283"/>
              <w:jc w:val="left"/>
              <w:rPr>
                <w:sz w:val="4"/>
                <w:szCs w:val="4"/>
              </w:rPr>
            </w:pPr>
            <w:r>
              <w:rPr>
                <w:sz w:val="4"/>
                <w:szCs w:val="4"/>
              </w:rPr>
            </w:r>
          </w:p>
        </w:tc>
      </w:tr>
      <w:tr>
        <w:trPr/>
        <w:tc>
          <w:tcPr>
            <w:tcW w:w="15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Moonrise Acquisition</w:t>
            </w:r>
          </w:p>
        </w:tc>
        <w:tc>
          <w:tcPr>
            <w:tcW w:w="8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acquisition of Moonrise from Fundare for approximately $90.0 million, consisting of (i) a $70.0 million cash payment and (ii) the issuance of 462,265 shares of common stock of the Company</w:t>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8609"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8609"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8609"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MVC</w:t>
            </w:r>
          </w:p>
        </w:tc>
        <w:tc>
          <w:tcPr>
            <w:tcW w:w="8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minimum volume commitment</w:t>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8609"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8609"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8609"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8609"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Permian Transmission Facility</w:t>
            </w:r>
          </w:p>
        </w:tc>
        <w:tc>
          <w:tcPr>
            <w:tcW w:w="8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March 16, 2026, $440.0 million refinancing of the Legacy Permian Transmission Credit Facilities and the Permian Term Loan Facility, in the form of a new term loan facility</w:t>
            </w:r>
          </w:p>
        </w:tc>
      </w:tr>
      <w:tr>
        <w:trPr/>
        <w:tc>
          <w:tcPr>
            <w:tcW w:w="15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NGLs</w:t>
            </w:r>
          </w:p>
        </w:tc>
        <w:tc>
          <w:tcPr>
            <w:tcW w:w="8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the combination of ethane, propane, normal butane, iso-butane, and natural gasolines that when removed from unprocessed natural gas streams become liquid under various levels of higher pressure and lower temperature</w:t>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8609"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8609"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Notice of Reaffirmation</w:t>
            </w:r>
          </w:p>
        </w:tc>
        <w:tc>
          <w:tcPr>
            <w:tcW w:w="8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Notice and Reaffirmation of Intercreditor Agreement, dated as of July 26, 2024, by and among Bank of America, N.A., as first lien representative and collateral agent for the initial first lien claimholders, Regions Bank, as second lien representative and collateral agent for the initial second lien claimholders, acknowledged and agreed to by Summit Holdings and the other grantors referred to therein</w:t>
            </w:r>
          </w:p>
        </w:tc>
      </w:tr>
      <w:tr>
        <w:trPr/>
        <w:tc>
          <w:tcPr>
            <w:tcW w:w="15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NYSE</w:t>
            </w:r>
          </w:p>
        </w:tc>
        <w:tc>
          <w:tcPr>
            <w:tcW w:w="8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8609"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8609"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8609"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8609"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8609"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8609"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8609"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8609"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Partnership Common Units</w:t>
            </w:r>
          </w:p>
        </w:tc>
        <w:tc>
          <w:tcPr>
            <w:tcW w:w="86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units representing limited partner interests of SMLP</w:t>
            </w:r>
          </w:p>
          <w:p>
            <w:pPr>
              <w:pStyle w:val="TableContents"/>
              <w:bidi w:val="0"/>
              <w:spacing w:before="0" w:after="0"/>
              <w:jc w:val="left"/>
              <w:rPr/>
            </w:pPr>
            <w:r>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8609"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play</w:t>
            </w:r>
          </w:p>
        </w:tc>
        <w:tc>
          <w:tcPr>
            <w:tcW w:w="8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 proven geological formation that contains commercial amounts of hydrocarbons</w:t>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8609"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Permian Holdco</w:t>
            </w:r>
          </w:p>
        </w:tc>
        <w:tc>
          <w:tcPr>
            <w:tcW w:w="8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Summit Permian Transmission Holdco, LLC</w:t>
            </w:r>
          </w:p>
        </w:tc>
      </w:tr>
      <w:tr>
        <w:trPr/>
        <w:tc>
          <w:tcPr>
            <w:tcW w:w="15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Permian Term Loan Facility</w:t>
            </w:r>
          </w:p>
        </w:tc>
        <w:tc>
          <w:tcPr>
            <w:tcW w:w="86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term loan governed by the Credit Agreement, dated as of March 8, 2021, among Summit Permian Transmission, LLC, as borrower, MUFG Bank Ltd., as administrative agent, Mizuho Bank (USA), as collateral agent, ING Capital LLC, Mizuho Bank, Ltd. and MUFG Union Bank, N.A., as L/C issuers, coordinating lead arrangers and joint bookrunners, and the lenders from time to time party thereto</w:t>
            </w:r>
          </w:p>
          <w:p>
            <w:pPr>
              <w:pStyle w:val="TableContents"/>
              <w:bidi w:val="0"/>
              <w:spacing w:before="0" w:after="0"/>
              <w:jc w:val="left"/>
              <w:rPr/>
            </w:pPr>
            <w:r>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8609"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8609"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8609"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produced water</w:t>
            </w:r>
          </w:p>
        </w:tc>
        <w:tc>
          <w:tcPr>
            <w:tcW w:w="8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water from underground geologic formations that is a by-product of natural gas and crude oil production</w:t>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8609"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8609"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8609"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8609"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86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 Securities and Exchange Commission</w:t>
            </w:r>
          </w:p>
          <w:p>
            <w:pPr>
              <w:pStyle w:val="TableContents"/>
              <w:bidi w:val="0"/>
              <w:spacing w:before="0" w:after="0"/>
              <w:jc w:val="left"/>
              <w:rPr/>
            </w:pPr>
            <w:r>
              <w:rPr/>
            </w:r>
          </w:p>
        </w:tc>
      </w:tr>
      <w:tr>
        <w:trPr/>
        <w:tc>
          <w:tcPr>
            <w:tcW w:w="15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Act</w:t>
            </w:r>
          </w:p>
        </w:tc>
        <w:tc>
          <w:tcPr>
            <w:tcW w:w="8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Act of 1933, as amended</w:t>
            </w:r>
          </w:p>
        </w:tc>
      </w:tr>
      <w:tr>
        <w:trPr/>
        <w:tc>
          <w:tcPr>
            <w:tcW w:w="159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86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 less total costs and expenses; plus (i) other income excluding interest income, (ii) our proportional adjusted EBITDA for equity method investees, (iii) depreciation and amortization, (iv) adjustments related to MVC shortfall payments, (v) adjustments related to capital reimbursement activity, (vi) stock-based and noncash compensation, (vii) impairments and (viii) other noncash expenses or losses, less other noncash income or gains</w:t>
            </w:r>
          </w:p>
          <w:p>
            <w:pPr>
              <w:pStyle w:val="TableContents"/>
              <w:bidi w:val="0"/>
              <w:spacing w:before="0" w:after="0"/>
              <w:jc w:val="left"/>
              <w:rPr/>
            </w:pPr>
            <w:r>
              <w:rPr/>
            </w:r>
          </w:p>
        </w:tc>
      </w:tr>
      <w:tr>
        <w:trPr/>
        <w:tc>
          <w:tcPr>
            <w:tcW w:w="15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Series A Certificate of Designation</w:t>
            </w:r>
          </w:p>
        </w:tc>
        <w:tc>
          <w:tcPr>
            <w:tcW w:w="8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Certificate of Designation of Series A Floating Rate Cumulative Redeemable Perpetual Preferred Stock of the Company</w:t>
            </w:r>
          </w:p>
        </w:tc>
      </w:tr>
      <w:tr>
        <w:trPr/>
        <w:tc>
          <w:tcPr>
            <w:tcW w:w="15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w:t>
            </w:r>
          </w:p>
        </w:tc>
        <w:tc>
          <w:tcPr>
            <w:tcW w:w="8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Fixed-to-Floating Rate Cumulative Redeemable Perpetual Preferred Stock issued by the Company</w:t>
            </w:r>
          </w:p>
        </w:tc>
      </w:tr>
      <w:tr>
        <w:trPr/>
        <w:tc>
          <w:tcPr>
            <w:tcW w:w="15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Series A Preferred Units</w:t>
            </w:r>
          </w:p>
        </w:tc>
        <w:tc>
          <w:tcPr>
            <w:tcW w:w="8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Fixed-to-Floating Rate Cumulative Redeemable Perpetual Preferred Units issued by SMLP</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5"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99"/>
        <w:gridCol w:w="441"/>
        <w:gridCol w:w="446"/>
        <w:gridCol w:w="2584"/>
        <w:gridCol w:w="2412"/>
        <w:gridCol w:w="3423"/>
      </w:tblGrid>
      <w:tr>
        <w:trPr/>
        <w:tc>
          <w:tcPr>
            <w:tcW w:w="89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3423"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shortfall payment</w:t>
            </w:r>
          </w:p>
        </w:tc>
        <w:tc>
          <w:tcPr>
            <w:tcW w:w="8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payment received from a counterparty when its volume throughput does not meet its MVC for the applicable period</w:t>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SMC LTIP</w:t>
            </w:r>
          </w:p>
        </w:tc>
        <w:tc>
          <w:tcPr>
            <w:tcW w:w="8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Summit Midstream Corporation 2024 Long-Term Incentive Plan, as amended from time to time</w:t>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SMLP</w:t>
            </w:r>
          </w:p>
        </w:tc>
        <w:tc>
          <w:tcPr>
            <w:tcW w:w="8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Summit Midstream Partners, LP</w:t>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SMLP LTIP</w:t>
            </w:r>
          </w:p>
        </w:tc>
        <w:tc>
          <w:tcPr>
            <w:tcW w:w="8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SMLP 2022 Long-Term Incentive Plan</w:t>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8419"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8419"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SOFR</w:t>
            </w:r>
          </w:p>
        </w:tc>
        <w:tc>
          <w:tcPr>
            <w:tcW w:w="84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Secured Overnight Financing Rate </w:t>
            </w:r>
          </w:p>
          <w:p>
            <w:pPr>
              <w:pStyle w:val="TableContents"/>
              <w:bidi w:val="0"/>
              <w:spacing w:before="0" w:after="0"/>
              <w:ind w:left="0" w:right="0" w:hanging="180"/>
              <w:jc w:val="left"/>
              <w:rPr/>
            </w:pPr>
            <w:r>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8419"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Subsidiary Series A Preferred Units</w:t>
            </w:r>
          </w:p>
        </w:tc>
        <w:tc>
          <w:tcPr>
            <w:tcW w:w="8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Fixed Rate Cumulative Redeemable Preferred Units issued by Permian Holdco</w:t>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Summit Holdings</w:t>
            </w:r>
          </w:p>
        </w:tc>
        <w:tc>
          <w:tcPr>
            <w:tcW w:w="8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Summit Midstream Holdings, LLC</w:t>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Summit Investments</w:t>
            </w:r>
          </w:p>
        </w:tc>
        <w:tc>
          <w:tcPr>
            <w:tcW w:w="8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Summit Midstream Partners, LLC</w:t>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8419"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8419"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8419"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8419"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Summit Permian Transmission</w:t>
            </w:r>
          </w:p>
        </w:tc>
        <w:tc>
          <w:tcPr>
            <w:tcW w:w="8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Summit Permian Transmission, LLC</w:t>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8419"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8419"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Tall Oak Acquisition</w:t>
            </w:r>
          </w:p>
        </w:tc>
        <w:tc>
          <w:tcPr>
            <w:tcW w:w="8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consummation of the transaction contemplated by the Business Contribution Agreement, dated as of October 1, 2024, by and among the Company, SMLP, and Tall Oak Midstream Holdings, LLC</w:t>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8419"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8419"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8419"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Tall Oak Parent</w:t>
            </w:r>
          </w:p>
        </w:tc>
        <w:tc>
          <w:tcPr>
            <w:tcW w:w="84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Tall Oak Midstream Holdings, LLC</w:t>
            </w:r>
          </w:p>
          <w:p>
            <w:pPr>
              <w:pStyle w:val="TableContents"/>
              <w:bidi w:val="0"/>
              <w:spacing w:before="0" w:after="0"/>
              <w:jc w:val="left"/>
              <w:rPr/>
            </w:pPr>
            <w:r>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8419"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w:t>
            </w:r>
          </w:p>
        </w:tc>
        <w:tc>
          <w:tcPr>
            <w:tcW w:w="84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Summit Midstream Corporation and its subsidiaries</w:t>
            </w:r>
          </w:p>
          <w:p>
            <w:pPr>
              <w:pStyle w:val="TableContents"/>
              <w:bidi w:val="0"/>
              <w:spacing w:before="0" w:after="0"/>
              <w:jc w:val="left"/>
              <w:rPr/>
            </w:pPr>
            <w:r>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throughput volume</w:t>
            </w:r>
          </w:p>
        </w:tc>
        <w:tc>
          <w:tcPr>
            <w:tcW w:w="8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volume of natural gas, crude oil or produced water gathered, transported or passing through a pipeline, plant, or other facility during a particular period; also referred to as volume throughput</w:t>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8419"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8419"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unconventional resource basin</w:t>
            </w:r>
          </w:p>
        </w:tc>
        <w:tc>
          <w:tcPr>
            <w:tcW w:w="8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 basin where natural gas or crude oil production is developed from unconventional sources that require hydraulic fracturing as part of the completion process, for instance, natural gas produced from shale formations and coalbeds; also referred to as an unconventional resource play</w:t>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8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8419"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8419"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wellhead</w:t>
            </w:r>
          </w:p>
        </w:tc>
        <w:tc>
          <w:tcPr>
            <w:tcW w:w="8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equipment at the surface of a well, used to control the well’s pressure; also, the point at which the hydrocarbons and water exit the ground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left"/>
        <w:rPr>
          <w:rFonts w:ascii="Times New Roman;serif" w:hAnsi="Times New Roman;serif"/>
          <w:b/>
          <w:color w:val="000000"/>
          <w:sz w:val="22"/>
        </w:rPr>
      </w:pPr>
      <w:r>
        <w:rPr>
          <w:rFonts w:ascii="Times New Roman;serif" w:hAnsi="Times New Roman;serif"/>
          <w:b/>
          <w:color w:val="000000"/>
          <w:sz w:val="22"/>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SUMMIT MIDSTREAM CORPORATION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CONDENSED CONSOLIDATED BALANCE SHEETS</w:t>
      </w:r>
    </w:p>
    <w:tbl>
      <w:tblPr>
        <w:tblW w:w="10205" w:type="dxa"/>
        <w:jc w:val="left"/>
        <w:tblInd w:w="0" w:type="dxa"/>
        <w:tblLayout w:type="fixed"/>
        <w:tblCellMar>
          <w:top w:w="28" w:type="dxa"/>
          <w:left w:w="28" w:type="dxa"/>
          <w:bottom w:w="28" w:type="dxa"/>
          <w:right w:w="28" w:type="dxa"/>
        </w:tblCellMar>
      </w:tblPr>
      <w:tblGrid>
        <w:gridCol w:w="2795"/>
        <w:gridCol w:w="2307"/>
        <w:gridCol w:w="2332"/>
        <w:gridCol w:w="199"/>
        <w:gridCol w:w="885"/>
        <w:gridCol w:w="110"/>
        <w:gridCol w:w="110"/>
        <w:gridCol w:w="110"/>
        <w:gridCol w:w="110"/>
        <w:gridCol w:w="199"/>
        <w:gridCol w:w="885"/>
        <w:gridCol w:w="163"/>
      </w:tblGrid>
      <w:tr>
        <w:trPr/>
        <w:tc>
          <w:tcPr>
            <w:tcW w:w="2795"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w:t>
              <w:br/>
              <w:t>2026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w:t>
              <w:br/>
              <w:t>2025</w:t>
            </w:r>
          </w:p>
        </w:tc>
      </w:tr>
      <w:tr>
        <w:trPr/>
        <w:tc>
          <w:tcPr>
            <w:tcW w:w="7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 thousands, except share amounts)</w:t>
            </w:r>
          </w:p>
        </w:tc>
      </w:tr>
      <w:tr>
        <w:trPr/>
        <w:tc>
          <w:tcPr>
            <w:tcW w:w="7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ASSETS</w:t>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20,967 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9,274 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Restricted cash</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10,405 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87,202 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69,752 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current assets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7,490 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assets</w:t>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124,471 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96,921 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plant and equipment, net</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1,839,292 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1,844,146 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Intangible assets, net</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149,513 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153,564 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 in Double E</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267,641 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265,583 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noncurrent assets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26,463 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27,395 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ASSETS</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2,407,380 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2,387,609 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LIABILITIES AND EQUITY</w:t>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Trade accounts payable</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21,414 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31,652 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expenses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43,090 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24,270 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revenue</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10,122 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 valorem taxes payable</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10,190 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compensation and employee benefits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12,063 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interest</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27,666 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30,045 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environmental remediation</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1,710 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settlement payable</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8,333 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8,333 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portion of long-term debt</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1,748 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21,223 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current liabilities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5,672 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27,185 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liabilities</w:t>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131,885 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176,793 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tax liabilities, net</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92,536 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73,635 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Long-term debt, net</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1,237,900 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1,024,347 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Noncurrent deferred revenue</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18,398 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Noncurrent accrued environmental remediation</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noncurrent liabilities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6,532 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w:t>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1,488,514 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1,299,757 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val="false"/>
                <w:color w:val="000000"/>
                <w:sz w:val="17"/>
              </w:rPr>
              <w:t>Commitments and contingencies (See Note</w:t>
            </w:r>
            <w:r>
              <w:rPr>
                <w:color w:val="000000"/>
              </w:rPr>
              <w:t xml:space="preserve"> </w:t>
            </w:r>
            <w:r>
              <w:rPr>
                <w:rFonts w:ascii="Times New Roman;serif" w:hAnsi="Times New Roman;serif"/>
                <w:b w:val="false"/>
                <w:color w:val="000000"/>
                <w:sz w:val="17"/>
              </w:rPr>
              <w:t>9)</w:t>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Mezzanine Equity</w:t>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Subsidiary Series A Preferred Units (nil and 93,039 units issued and outstanding as of June 30, 2026 and December 31, 2025, respectively)</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141,296 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Equity</w:t>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Series A Preferred Stock (65,508 shares authorized, issued and outstanding as of June 30, 2026 and December 31, 2025)</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64,168 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110,468 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Common Stock, $0.01 par value (42,000,000 shares authorized as of June 30, 2026 and December 31, 2025; 13,782,960 and 12,262,320 shares issued and outstanding as of June 30, 2026 and December 31, 2025, respectively)</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Class B Common Stock, $0.01 par value (7,471,008 shares authorized as of June 30, 2026 and December 31, 2025; 6,524,467 issued and outstanding as of June 30, 2026 and December 31, 2025)</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740,596 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638,427 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deficit</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(206,590)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(202,902)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Company stockholders’ equity</w:t>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598,375 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546,180 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Noncontrolling interest</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320,491 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400,376 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Equity</w:t>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918,866 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946,556 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 AND EQUITY</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2,407,380 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2,387,609 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SUMMIT MIDSTREAM CORPORATION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CONDENSED CONSOLIDATED STATEMENTS OF OPERATIONS</w:t>
      </w:r>
    </w:p>
    <w:tbl>
      <w:tblPr>
        <w:tblW w:w="10205" w:type="dxa"/>
        <w:jc w:val="left"/>
        <w:tblInd w:w="0" w:type="dxa"/>
        <w:tblLayout w:type="fixed"/>
        <w:tblCellMar>
          <w:top w:w="28" w:type="dxa"/>
          <w:left w:w="28" w:type="dxa"/>
          <w:bottom w:w="28" w:type="dxa"/>
          <w:right w:w="28" w:type="dxa"/>
        </w:tblCellMar>
      </w:tblPr>
      <w:tblGrid>
        <w:gridCol w:w="1863"/>
        <w:gridCol w:w="1466"/>
        <w:gridCol w:w="1475"/>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5"/>
      </w:tblGrid>
      <w:tr>
        <w:trPr/>
        <w:tc>
          <w:tcPr>
            <w:tcW w:w="1863"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1"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 except per share amounts)</w:t>
            </w:r>
          </w:p>
        </w:tc>
      </w:tr>
      <w:tr>
        <w:trPr/>
        <w:tc>
          <w:tcPr>
            <w:tcW w:w="4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services and related fees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NGLs and condensate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272,914 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natural gas and NGLs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 and maintenance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integration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asset sales,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 impairments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244,131 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interest rate swaps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Subsidiary Series A Preferred Units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Series A Preferred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Net (income) loss attributable to noncontrolling interest in SMLP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Summit Midstream Corporation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share:</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Weighted-average number of shares outstanding:</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diluted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SUMMIT MIDSTREAM CORPORATION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CONDENSED CONSOLIDATED STATEMENTS OF EQUITY</w:t>
      </w:r>
    </w:p>
    <w:tbl>
      <w:tblPr>
        <w:tblW w:w="10205" w:type="dxa"/>
        <w:jc w:val="center"/>
        <w:tblInd w:w="0" w:type="dxa"/>
        <w:tblLayout w:type="fixed"/>
        <w:tblCellMar>
          <w:top w:w="28" w:type="dxa"/>
          <w:left w:w="28" w:type="dxa"/>
          <w:bottom w:w="28" w:type="dxa"/>
          <w:right w:w="28" w:type="dxa"/>
        </w:tblCellMar>
      </w:tblPr>
      <w:tblGrid>
        <w:gridCol w:w="618"/>
        <w:gridCol w:w="228"/>
        <w:gridCol w:w="230"/>
        <w:gridCol w:w="109"/>
        <w:gridCol w:w="109"/>
        <w:gridCol w:w="109"/>
        <w:gridCol w:w="109"/>
        <w:gridCol w:w="109"/>
        <w:gridCol w:w="109"/>
        <w:gridCol w:w="109"/>
        <w:gridCol w:w="186"/>
        <w:gridCol w:w="634"/>
        <w:gridCol w:w="112"/>
        <w:gridCol w:w="109"/>
        <w:gridCol w:w="109"/>
        <w:gridCol w:w="109"/>
        <w:gridCol w:w="205"/>
        <w:gridCol w:w="409"/>
        <w:gridCol w:w="123"/>
        <w:gridCol w:w="109"/>
        <w:gridCol w:w="109"/>
        <w:gridCol w:w="109"/>
        <w:gridCol w:w="232"/>
        <w:gridCol w:w="367"/>
        <w:gridCol w:w="140"/>
        <w:gridCol w:w="109"/>
        <w:gridCol w:w="109"/>
        <w:gridCol w:w="109"/>
        <w:gridCol w:w="187"/>
        <w:gridCol w:w="639"/>
        <w:gridCol w:w="113"/>
        <w:gridCol w:w="109"/>
        <w:gridCol w:w="109"/>
        <w:gridCol w:w="109"/>
        <w:gridCol w:w="187"/>
        <w:gridCol w:w="656"/>
        <w:gridCol w:w="112"/>
        <w:gridCol w:w="109"/>
        <w:gridCol w:w="109"/>
        <w:gridCol w:w="109"/>
        <w:gridCol w:w="109"/>
        <w:gridCol w:w="109"/>
        <w:gridCol w:w="184"/>
        <w:gridCol w:w="626"/>
        <w:gridCol w:w="110"/>
        <w:gridCol w:w="109"/>
        <w:gridCol w:w="109"/>
        <w:gridCol w:w="109"/>
        <w:gridCol w:w="181"/>
        <w:gridCol w:w="616"/>
        <w:gridCol w:w="167"/>
      </w:tblGrid>
      <w:tr>
        <w:trPr/>
        <w:tc>
          <w:tcPr>
            <w:tcW w:w="6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Equity</w:t>
            </w:r>
          </w:p>
        </w:tc>
        <w:tc>
          <w:tcPr>
            <w:tcW w:w="2320" w:type="dxa"/>
            <w:gridSpan w:val="10"/>
            <w:tcBorders/>
          </w:tcPr>
          <w:p>
            <w:pPr>
              <w:pStyle w:val="TableContents"/>
              <w:bidi w:val="0"/>
              <w:spacing w:before="0" w:after="283"/>
              <w:jc w:val="left"/>
              <w:rPr>
                <w:sz w:val="4"/>
                <w:szCs w:val="4"/>
              </w:rPr>
            </w:pPr>
            <w:r>
              <w:rPr>
                <w:sz w:val="4"/>
                <w:szCs w:val="4"/>
              </w:rPr>
            </w:r>
          </w:p>
        </w:tc>
      </w:tr>
      <w:tr>
        <w:trPr/>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Series A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Common Stock Amount, at $0.01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Class B Common Stock Amount, at $0.01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w:t>
              <w:br/>
              <w:t>controlling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Equity</w:t>
            </w:r>
          </w:p>
        </w:tc>
      </w:tr>
      <w:tr>
        <w:trPr/>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2" w:type="dxa"/>
            <w:gridSpan w:val="45"/>
            <w:tcBorders/>
          </w:tcPr>
          <w:p>
            <w:pPr>
              <w:pStyle w:val="TableContents"/>
              <w:bidi w:val="0"/>
              <w:spacing w:before="0" w:after="283"/>
              <w:jc w:val="left"/>
              <w:rPr>
                <w:sz w:val="4"/>
                <w:szCs w:val="4"/>
              </w:rPr>
            </w:pPr>
            <w:r>
              <w:rPr>
                <w:sz w:val="4"/>
                <w:szCs w:val="4"/>
              </w:rPr>
            </w:r>
          </w:p>
        </w:tc>
      </w:tr>
      <w:tr>
        <w:trPr/>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Equity,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110,468 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638,427 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(202,902)</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400,376 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946,556 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3,113 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(5,295)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(2,914)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(5,096)</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Dividend paid on Series A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(49,416)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(49,416)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3,036 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3,036 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Tax withholdings and associated payments on vested SMC LTIP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(2,796)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(2,796)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 issuance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41,445 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41,459 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Tax impact of Up-C Structure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(18,751)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(18,751)</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shift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78,286 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(78,286)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Equity,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64,165 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739,647 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(208,197)</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319,176 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914,992 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4,565 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Dividend paid on Series A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2,298 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2,298 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Shares repurchased and redeemed under Share Repurchase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(1,009)</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Tax impact of Up-C Structure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Tax withholdings and associated payments on vested SMC LTIP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Equity shift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Equity,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64,168 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740,596 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(206,590)</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320,491 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918,866 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38"/>
        <w:gridCol w:w="253"/>
        <w:gridCol w:w="254"/>
        <w:gridCol w:w="109"/>
        <w:gridCol w:w="109"/>
        <w:gridCol w:w="109"/>
        <w:gridCol w:w="109"/>
        <w:gridCol w:w="109"/>
        <w:gridCol w:w="109"/>
        <w:gridCol w:w="109"/>
        <w:gridCol w:w="189"/>
        <w:gridCol w:w="643"/>
        <w:gridCol w:w="113"/>
        <w:gridCol w:w="109"/>
        <w:gridCol w:w="109"/>
        <w:gridCol w:w="109"/>
        <w:gridCol w:w="217"/>
        <w:gridCol w:w="432"/>
        <w:gridCol w:w="130"/>
        <w:gridCol w:w="109"/>
        <w:gridCol w:w="109"/>
        <w:gridCol w:w="109"/>
        <w:gridCol w:w="249"/>
        <w:gridCol w:w="393"/>
        <w:gridCol w:w="150"/>
        <w:gridCol w:w="109"/>
        <w:gridCol w:w="109"/>
        <w:gridCol w:w="109"/>
        <w:gridCol w:w="191"/>
        <w:gridCol w:w="651"/>
        <w:gridCol w:w="115"/>
        <w:gridCol w:w="109"/>
        <w:gridCol w:w="109"/>
        <w:gridCol w:w="109"/>
        <w:gridCol w:w="190"/>
        <w:gridCol w:w="668"/>
        <w:gridCol w:w="114"/>
        <w:gridCol w:w="109"/>
        <w:gridCol w:w="109"/>
        <w:gridCol w:w="109"/>
        <w:gridCol w:w="185"/>
        <w:gridCol w:w="631"/>
        <w:gridCol w:w="111"/>
        <w:gridCol w:w="109"/>
        <w:gridCol w:w="109"/>
        <w:gridCol w:w="109"/>
        <w:gridCol w:w="181"/>
        <w:gridCol w:w="616"/>
        <w:gridCol w:w="166"/>
      </w:tblGrid>
      <w:tr>
        <w:trPr/>
        <w:tc>
          <w:tcPr>
            <w:tcW w:w="6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5" w:type="dxa"/>
            <w:gridSpan w:val="3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Equity</w:t>
            </w:r>
          </w:p>
        </w:tc>
        <w:tc>
          <w:tcPr>
            <w:tcW w:w="1290" w:type="dxa"/>
            <w:gridSpan w:val="6"/>
            <w:tcBorders/>
          </w:tcPr>
          <w:p>
            <w:pPr>
              <w:pStyle w:val="TableContents"/>
              <w:bidi w:val="0"/>
              <w:spacing w:before="0" w:after="283"/>
              <w:jc w:val="left"/>
              <w:rPr>
                <w:sz w:val="4"/>
                <w:szCs w:val="4"/>
              </w:rPr>
            </w:pPr>
            <w:r>
              <w:rPr>
                <w:sz w:val="4"/>
                <w:szCs w:val="4"/>
              </w:rPr>
            </w:r>
          </w:p>
        </w:tc>
      </w:tr>
      <w:tr>
        <w:trPr/>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Series A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Common Stock Amount, at $0.01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Class B Common Stock Amount, at $0.01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w:t>
              <w:br/>
              <w:t>controlling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Equity</w:t>
            </w:r>
          </w:p>
        </w:tc>
      </w:tr>
      <w:tr>
        <w:trPr/>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3" w:type="dxa"/>
            <w:gridSpan w:val="43"/>
            <w:tcBorders/>
          </w:tcPr>
          <w:p>
            <w:pPr>
              <w:pStyle w:val="TableContents"/>
              <w:bidi w:val="0"/>
              <w:spacing w:before="0" w:after="283"/>
              <w:jc w:val="left"/>
              <w:rPr>
                <w:sz w:val="4"/>
                <w:szCs w:val="4"/>
              </w:rPr>
            </w:pPr>
            <w:r>
              <w:rPr>
                <w:sz w:val="4"/>
                <w:szCs w:val="4"/>
              </w:rPr>
            </w:r>
          </w:p>
        </w:tc>
      </w:tr>
      <w:tr>
        <w:trPr/>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Equity,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110,230 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540,714 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(183,333)</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497,333 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965,125 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3,918 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(1,887)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Dividend paid on Series A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(3,359)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(3,359)</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2,375 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2,375 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Tax withholdings and associated payments on vested SMC LTIP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(2,838)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(2,837)</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Moonrise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17,890 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17,895 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Class B Common Stock and Partnership Common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Tax impact of Up-C Structure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(12,280)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(12,280)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shift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86,526 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(86,526)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Equity,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110,789 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632,387 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(185,220)</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409,818 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967,961 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(8,028)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(2,980)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Dividend paid on Series A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(3,382)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(3,382)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2,362 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Tax withholdings and associated payments on vested SMC LTIP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Equity shift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Equity,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110,508 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634,508 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(193,248)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407,071 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959,026 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SUMMIT MIDSTREAM CORPORATION AND SUBSIDIARIES</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UNAUDITED CONDENSED CONSOLIDATED STATEMENTS OF CASH FLOWS</w:t>
      </w:r>
    </w:p>
    <w:tbl>
      <w:tblPr>
        <w:tblW w:w="8483" w:type="dxa"/>
        <w:jc w:val="left"/>
        <w:tblInd w:w="0" w:type="dxa"/>
        <w:tblLayout w:type="fixed"/>
        <w:tblCellMar>
          <w:top w:w="28" w:type="dxa"/>
          <w:left w:w="28" w:type="dxa"/>
          <w:bottom w:w="28" w:type="dxa"/>
          <w:right w:w="28" w:type="dxa"/>
        </w:tblCellMar>
      </w:tblPr>
      <w:tblGrid>
        <w:gridCol w:w="2311"/>
        <w:gridCol w:w="2031"/>
        <w:gridCol w:w="2047"/>
        <w:gridCol w:w="181"/>
        <w:gridCol w:w="571"/>
        <w:gridCol w:w="109"/>
        <w:gridCol w:w="109"/>
        <w:gridCol w:w="109"/>
        <w:gridCol w:w="109"/>
        <w:gridCol w:w="181"/>
        <w:gridCol w:w="571"/>
        <w:gridCol w:w="154"/>
      </w:tblGrid>
      <w:tr>
        <w:trPr/>
        <w:tc>
          <w:tcPr>
            <w:tcW w:w="2311"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Six Months Ended June 30,</w:t>
            </w:r>
          </w:p>
        </w:tc>
      </w:tr>
      <w:tr>
        <w:trPr/>
        <w:tc>
          <w:tcPr>
            <w:tcW w:w="6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2025</w:t>
            </w:r>
          </w:p>
        </w:tc>
      </w:tr>
      <w:tr>
        <w:trPr/>
        <w:tc>
          <w:tcPr>
            <w:tcW w:w="6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(In thousands)</w:t>
            </w:r>
          </w:p>
        </w:tc>
      </w:tr>
      <w:tr>
        <w:trPr/>
        <w:tc>
          <w:tcPr>
            <w:tcW w:w="6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Adjustments to reconcile net income (loss) to net cash provided by operating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Deferred income taxes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54,028 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59,041 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lease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3,897 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costs and 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4,737 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equity method investee - Double 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(9,642)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from equity method investee - Double 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15,519 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13,955 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asset sales,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loss on earn-out remeasurement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sale of business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loss on interest rate swaps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Long-lived asset impairment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Changes in operating assets and liabilities: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(17,450)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(4,040)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accounts payable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5,753 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(9,435)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(2,707)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(2,960)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 valorem taxes payable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environmental remediation,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(9,332)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50,802 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53,243 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(44,270)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(46,996)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consideration paid for the acquisition of Moonrise, net of cash acquired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(69,997)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equity method investee - Double 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(3,063)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(50,764)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(120,056)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under New Permian Transmission Facility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repayments - Legacy Permian Transmission Term Loan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(116,998)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(8,106)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on Amended and Restated ABL Facility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Debt repayments - Amended and Restated ABL Facility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(117,000)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(260,000)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and redemption of Subsidiary Series A Preferred Units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(143,226)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(3,256)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on Series A Preferred Stock</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(51,277)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(6,741)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Related party shares issued for cash,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Related party settlement of Tall Oak earn-out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shares under Share Repurchase Program</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Additional 2029 Secured Notes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258,438 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issuance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(4,835)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(3,520)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(3,382)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67,118 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cash, cash equivalents and restricted cash</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beginning of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19,679 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25,199 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end of period</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31,760 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25,504 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7"/>
        </w:rPr>
      </w:pPr>
      <w:r>
        <w:rPr>
          <w:rFonts w:ascii="Times New Roman;serif" w:hAnsi="Times New Roman;serif"/>
          <w:b w:val="false"/>
          <w:color w:val="000000"/>
          <w:sz w:val="17"/>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SUMMIT MIDSTREAM CORPORATION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 ORGANIZATION, BUSINESS OPERATIONS, AND PRESENTATION AND CONSOLIDATION</w:t>
      </w:r>
    </w:p>
    <w:p>
      <w:pPr>
        <w:pStyle w:val="TextBody"/>
        <w:bidi w:val="0"/>
        <w:spacing w:lineRule="auto" w:line="288" w:before="120" w:after="283"/>
        <w:jc w:val="left"/>
        <w:rPr/>
      </w:pPr>
      <w:r>
        <w:rPr>
          <w:rFonts w:ascii="Times New Roman;serif" w:hAnsi="Times New Roman;serif"/>
          <w:b/>
          <w:i/>
          <w:color w:val="000000"/>
          <w:sz w:val="20"/>
        </w:rPr>
        <w:t>Organization.</w:t>
      </w:r>
      <w:r>
        <w:rPr>
          <w:color w:val="000000"/>
        </w:rPr>
        <w:t> </w:t>
      </w:r>
      <w:r>
        <w:rPr>
          <w:rFonts w:ascii="Times New Roman;serif" w:hAnsi="Times New Roman;serif"/>
          <w:b w:val="false"/>
          <w:color w:val="000000"/>
          <w:sz w:val="20"/>
        </w:rPr>
        <w:t xml:space="preserve">Summit Midstream Corporation (including its subsidiaries, collectively the “Company”) was incorporated under the laws of the State of Delaware on May 14, 2024, for the purpose of effecting the reorganization (the “Corporate Reorganization”) of Summit Midstream Partners, LP, a Delaware master limited partnership (“SMLP”), in which the Company was incorporated to serve as the new parent holding company of SMLP. The Company’s common stock, par value $0.01 per share (“common stock”), is listed on the New York Stock Exchange (“NYSE”) under the ticker symbol “SMC.” For all periods presented, the Company has operated in an Up-C tax structure, with the Company owning SMLP alongside holders of a noncontrolling limited partnership interest.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is a value-oriented company focused on developing, owning, and operating midstream energy infrastructure assets that are strategically located in the core producing areas of unconventional resource basins, primarily shale formations in the continental U.S. The Company’s business activities are primarily conducted through various operating subsidiaries, each of which is owned or controlled by its subsidiary holding company, Summit Midstream Holdings, LLC, a Delaware limited liability company (“Summit Holdings”).</w:t>
      </w:r>
    </w:p>
    <w:p>
      <w:pPr>
        <w:pStyle w:val="TextBody"/>
        <w:bidi w:val="0"/>
        <w:spacing w:lineRule="auto" w:line="288" w:before="120" w:after="283"/>
        <w:jc w:val="left"/>
        <w:rPr/>
      </w:pPr>
      <w:r>
        <w:rPr>
          <w:rFonts w:ascii="Times New Roman;serif" w:hAnsi="Times New Roman;serif"/>
          <w:b/>
          <w:i/>
          <w:color w:val="000000"/>
          <w:sz w:val="20"/>
        </w:rPr>
        <w:t>Business Operations.</w:t>
      </w:r>
      <w:r>
        <w:rPr>
          <w:color w:val="000000"/>
        </w:rPr>
        <w:t> </w:t>
      </w:r>
      <w:r>
        <w:rPr>
          <w:rFonts w:ascii="Times New Roman;serif" w:hAnsi="Times New Roman;serif"/>
          <w:b w:val="false"/>
          <w:color w:val="000000"/>
          <w:sz w:val="20"/>
        </w:rPr>
        <w:t>The Company provides natural gas gathering, compression, treating, and processing services as well as crude oil and produced water gathering services pursuant to primarily long-term, fee-based agreements with its customers. In addition to these services, the Company also provides freshwater delivery services pursuant to short-term agreements with customers. The Company’s results are primarily driven by the volumes of natural gas that it transports, gathers, compresses, treats, and/or processes as well as by the volumes of crude oil and produced water that it gathers.</w:t>
      </w:r>
    </w:p>
    <w:p>
      <w:pPr>
        <w:pStyle w:val="TextBody"/>
        <w:bidi w:val="0"/>
        <w:spacing w:lineRule="auto" w:line="288" w:before="120" w:after="283"/>
        <w:jc w:val="left"/>
        <w:rPr/>
      </w:pPr>
      <w:r>
        <w:rPr>
          <w:rFonts w:ascii="Times New Roman;serif" w:hAnsi="Times New Roman;serif"/>
          <w:b/>
          <w:i/>
          <w:color w:val="000000"/>
          <w:sz w:val="20"/>
        </w:rPr>
        <w:t>Presentation and Consolidation.</w:t>
      </w:r>
      <w:r>
        <w:rPr>
          <w:color w:val="000000"/>
        </w:rPr>
        <w:t> </w:t>
      </w:r>
      <w:r>
        <w:rPr>
          <w:rFonts w:ascii="Times New Roman;serif" w:hAnsi="Times New Roman;serif"/>
          <w:b w:val="false"/>
          <w:color w:val="000000"/>
          <w:sz w:val="20"/>
        </w:rPr>
        <w:t>The Company prepares its condensed consolidated financial statements in accordance with GAAP, as established by the FASB and pursuant to the rules and regulations of the SEC pertaining to interim financial information. The unaudited condensed consolidated financial statements contained in this report include all normal and recurring material adjustments that, in the opinion of management, are necessary for a fair statement of the financial position, results of operations and cash flows for the interim periods presented herein. These unaudited condensed consolidated financial statements and notes thereto should be read in conjunction with the consolidated financial statements and related notes that are included in the Company’s Annual Report on Form 10-K for the year ended December 31, 2025 (the “2025 Annual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makes estimates and assumptions that affect the reported amounts of assets and liabilities at the balance sheet dates, including fair value measurements, the reported amounts of revenues and expenses and the disclosure of commitments and contingencies. Although management believes these estimates are reasonable, actual results could differ from management’s estimates.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include the assets, liabilities, and results of operations of the Company. All intercompany transactions among the consolidated entities have been eliminated in consolidation. Comprehensive income or loss is the same as net income or loss for all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 AND RECENTLY ISSUED ACCOUNTING STANDARDS APPLICABLE TO THE COMPANY</w:t>
      </w:r>
    </w:p>
    <w:p>
      <w:pPr>
        <w:pStyle w:val="TextBody"/>
        <w:bidi w:val="0"/>
        <w:spacing w:lineRule="auto" w:line="288" w:before="120" w:after="283"/>
        <w:jc w:val="left"/>
        <w:rPr/>
      </w:pPr>
      <w:r>
        <w:rPr>
          <w:rFonts w:ascii="Times New Roman;serif" w:hAnsi="Times New Roman;serif"/>
          <w:b/>
          <w:i/>
          <w:color w:val="000000"/>
          <w:sz w:val="20"/>
        </w:rPr>
        <w:t xml:space="preserve">Income Taxes. </w:t>
      </w:r>
      <w:r>
        <w:rPr>
          <w:rFonts w:ascii="Times New Roman;serif" w:hAnsi="Times New Roman;serif"/>
          <w:b w:val="false"/>
          <w:color w:val="000000"/>
          <w:sz w:val="20"/>
        </w:rPr>
        <w:t>The Company accounts for income taxes, as required, under ASC 740, Accounting for Income Taxes (“ASC 740”). Deferred tax assets and liabilities are recognized for future tax consequences attributable to differences between the financial statement carrying amounts of existing assets and liabilities and their respective tax bases and net operating loss and tax credit carry-forwards. Deferred tax assets and liabilities are measured using enacted tax rates applied to taxable income in the relevant years in which those temporary differences are expected to be recovered or settled. The effect of a change in tax rates on deferred tax assets and liabilities is recognized in net income or loss in the period that includes the enactment date. Deferred tax assets are reduced by a valuation allowance when, in the opinion of management, it is more likely than not that some portion or all of the deferred tax assets will not be realized.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transactions with shareholders, the tax effects of changes in the tax bases of assets and liabilities caused by transactions among or with shareholders are included in equity under the caption “Tax impact of Up-C Structure” in accordance with GAAP and reflected in the condensed consolidated statement of equity as an increase or decrease to equity.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records income tax balances in accordance with ASC 740 on the basis of a two-step process in which (1) it determines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settlement with the related tax authority. For tax positions which do not meet the more-likely-than-not threshold, the Company records uncertain tax positions in accordance with ASC 740.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pPr>
      <w:r>
        <w:rPr>
          <w:rFonts w:ascii="Times New Roman;serif" w:hAnsi="Times New Roman;serif"/>
          <w:b/>
          <w:i/>
          <w:color w:val="000000"/>
          <w:sz w:val="20"/>
        </w:rPr>
        <w:t xml:space="preserve">New Accounting Standards Not Yet Implemented. </w:t>
      </w:r>
      <w:r>
        <w:rPr>
          <w:rFonts w:ascii="Times New Roman;serif" w:hAnsi="Times New Roman;serif"/>
          <w:b w:val="false"/>
          <w:color w:val="000000"/>
          <w:sz w:val="20"/>
        </w:rPr>
        <w:t>ASU 2024-03, Income Statement - Reporting Comprehensive Income - Expense Disaggregation Disclosures (Subtopic 220-40): Disaggregation of Income Statement Expenses (“ASU 2024-03”). ASU 2024-03 is intended to improve expense disclosures, primarily by requiring disclosure of disaggregated information about certain income statement expense line items on an annual and interim basis. This standard will be effective for annual reporting periods beginning in fiscal year 2027 and for interim periods beginning in fiscal year 2028, with early adoption permitted. The updates required by this standard should be applied prospectively, but retrospective application is permitted. The Company is currently assessing the impact this standard will have on its consolidated financial statement disclosures.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ASU 2025-11, Interim Reporting (“ASU 2025-11”) which is intended to improve the navigability of the guidance in ASC 270, Interim Reporting, and clarify when it applies. Under the amendments, an entity is subject to ASC 270 if it provides interim financial statements and notes in accordance with GAAP. ASU 2025-11 also addresses the form and content of such financial statements, interim disclosures requirements, and establishes a principle under which an entity must disclose events since the end of the last annual reporting period that have a material impact on the entity. ASU 2025-11 is effective for interim reporting periods within annual reporting periods beginning after December 15, 2027, and early adoption is permitted. The Company is currently assessing the impact this standard will have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3. ACQUISITION</w:t>
      </w:r>
    </w:p>
    <w:p>
      <w:pPr>
        <w:pStyle w:val="TextBody"/>
        <w:bidi w:val="0"/>
        <w:spacing w:lineRule="auto" w:line="288" w:before="120" w:after="120"/>
        <w:jc w:val="left"/>
        <w:rPr/>
      </w:pPr>
      <w:r>
        <w:rPr>
          <w:rFonts w:ascii="Times New Roman;serif" w:hAnsi="Times New Roman;serif"/>
          <w:b/>
          <w:i/>
          <w:color w:val="000000"/>
          <w:sz w:val="20"/>
        </w:rPr>
        <w:t xml:space="preserve">Moonrise Acquisition. </w:t>
      </w:r>
      <w:r>
        <w:rPr>
          <w:rFonts w:ascii="Times New Roman;serif" w:hAnsi="Times New Roman;serif"/>
          <w:b w:val="false"/>
          <w:color w:val="000000"/>
          <w:sz w:val="20"/>
        </w:rPr>
        <w:t>On March 10, 2025, the Company completed the transaction contemplated in the Membership Interest Purchase Agreement, dated as of March 10, 2025, by and among the Company, Summit Holdings, Fundare Resources Company HoldCo, LLC, a Delaware limited liability company (“Fundare”), and solely for purposes of Section 9.19 thereto, Fundare Resources Company, LLC, a Delaware limited liability company, pursuant to which Fundare contributed all of its equity interests in Moonrise Midstream, LLC, a Delaware limited liability company (“Moonrise”), to Summit Holdings in exchange for total consideration equal to approximately $90.0 million (the “Moonrise Acquisition”). Total consideration consisted of (i) a $70.0 million cash payment and (ii) the issuance of 462,265 shares of common stock of the Company.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values of certain assets and liabilities, including property, plant and equipment and other intangible assets required the use of significant judgments and estimates.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fair value of the assets acquired and liabilities assumed as of the acquisition date. </w:t>
      </w:r>
    </w:p>
    <w:tbl>
      <w:tblPr>
        <w:tblW w:w="7712" w:type="dxa"/>
        <w:jc w:val="left"/>
        <w:tblInd w:w="0" w:type="dxa"/>
        <w:tblLayout w:type="fixed"/>
        <w:tblCellMar>
          <w:top w:w="28" w:type="dxa"/>
          <w:left w:w="28" w:type="dxa"/>
          <w:bottom w:w="28" w:type="dxa"/>
          <w:right w:w="28" w:type="dxa"/>
        </w:tblCellMar>
      </w:tblPr>
      <w:tblGrid>
        <w:gridCol w:w="2282"/>
        <w:gridCol w:w="2002"/>
        <w:gridCol w:w="2015"/>
        <w:gridCol w:w="109"/>
        <w:gridCol w:w="109"/>
        <w:gridCol w:w="109"/>
        <w:gridCol w:w="211"/>
        <w:gridCol w:w="721"/>
        <w:gridCol w:w="154"/>
      </w:tblGrid>
      <w:tr>
        <w:trPr/>
        <w:tc>
          <w:tcPr>
            <w:tcW w:w="2282"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Moonrise Purchase Price Allocation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Total consideration paid for Moonrise </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89,771 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Recognized amounts of identifiable assets acquired and liabilities assumed: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accounts payable, accrued expenses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assets acquired and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Purchase price consideration includes $17.9 million of equity consideration (462,265 shares valued at $38.71 per share on March 10, 2025) as well as $1.9 million of cash acquired.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assets acquired and liabilities assumed were recorded at their estimated fair values at the date of the acquisition. Acquired working capital amounts are expected to approximate fair value due to their short-term nature. The fair value of acquired equipment and intangible assets are based on both available market data and cost and income approaches. These methods are considered Level 3 fair value estimates and include significant assumptions of future gathering and processing volumes, commodity prices, and operating and capital cost estimates, discounted using weighted average cost of capital.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acquired consist of rights-of-way with a weighted average amortization period of approximately 30 years.</w:t>
      </w:r>
    </w:p>
    <w:p>
      <w:pPr>
        <w:pStyle w:val="TextBody"/>
        <w:bidi w:val="0"/>
        <w:spacing w:lineRule="auto" w:line="288" w:before="120" w:after="283"/>
        <w:jc w:val="left"/>
        <w:rPr/>
      </w:pPr>
      <w:r>
        <w:rPr>
          <w:rFonts w:ascii="Times New Roman;serif" w:hAnsi="Times New Roman;serif"/>
          <w:b/>
          <w:i/>
          <w:color w:val="000000"/>
          <w:sz w:val="20"/>
        </w:rPr>
        <w:t xml:space="preserve">Pro Forma Information (Unaudited). </w:t>
      </w:r>
      <w:r>
        <w:rPr>
          <w:rFonts w:ascii="Times New Roman;serif" w:hAnsi="Times New Roman;serif"/>
          <w:b w:val="false"/>
          <w:color w:val="000000"/>
          <w:sz w:val="20"/>
        </w:rPr>
        <w:t xml:space="preserve">The following table summarizes the unaudited pro forma condensed financial information of the Company as if the Moonrise Acquisition had occurred on January 1, 2025: </w:t>
      </w:r>
    </w:p>
    <w:tbl>
      <w:tblPr>
        <w:tblW w:w="3208" w:type="dxa"/>
        <w:jc w:val="left"/>
        <w:tblInd w:w="0" w:type="dxa"/>
        <w:tblLayout w:type="fixed"/>
        <w:tblCellMar>
          <w:top w:w="28" w:type="dxa"/>
          <w:left w:w="28" w:type="dxa"/>
          <w:bottom w:w="28" w:type="dxa"/>
          <w:right w:w="28" w:type="dxa"/>
        </w:tblCellMar>
      </w:tblPr>
      <w:tblGrid>
        <w:gridCol w:w="554"/>
        <w:gridCol w:w="486"/>
        <w:gridCol w:w="489"/>
        <w:gridCol w:w="297"/>
        <w:gridCol w:w="1165"/>
        <w:gridCol w:w="217"/>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2025</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276,893 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unaudited pro forma information is for informational purposes only and is not necessarily indicative of the operating results that would have occurred had the Moonrise Acquisition been completed at January 1, 2025, nor is it necessarily indicative of future operating results. Subsequent to the Moonrise Acquisition, during the second quarter of 2025, the Company integrated the Moonrise assets within its Niobrara G&amp;P system. As a result of the integration, it is impractical to disclose the amounts of revenues and earnings that the Moonrise Acquisition contributed to the Company’s condensed consolidated statements of operations during subsequent reporting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4.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estimated revenue, as of June 30, 2026, expected to be recognized during the remainder of 2026 and over the remaining contract period related to performance obligations that are unsatisfied and are comprised of estimated MVC shortfall payments.</w:t>
      </w:r>
    </w:p>
    <w:tbl>
      <w:tblPr>
        <w:tblW w:w="10205" w:type="dxa"/>
        <w:jc w:val="left"/>
        <w:tblInd w:w="0" w:type="dxa"/>
        <w:tblLayout w:type="fixed"/>
        <w:tblCellMar>
          <w:top w:w="28" w:type="dxa"/>
          <w:left w:w="28" w:type="dxa"/>
          <w:bottom w:w="28" w:type="dxa"/>
          <w:right w:w="28" w:type="dxa"/>
        </w:tblCellMar>
      </w:tblPr>
      <w:tblGrid>
        <w:gridCol w:w="1032"/>
        <w:gridCol w:w="907"/>
        <w:gridCol w:w="91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406"/>
        <w:gridCol w:w="109"/>
        <w:gridCol w:w="109"/>
        <w:gridCol w:w="109"/>
        <w:gridCol w:w="109"/>
        <w:gridCol w:w="254"/>
        <w:gridCol w:w="490"/>
        <w:gridCol w:w="188"/>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Thereafter</w:t>
            </w:r>
          </w:p>
        </w:tc>
      </w:tr>
      <w:tr>
        <w:trPr/>
        <w:tc>
          <w:tcPr>
            <w:tcW w:w="285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services and related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i/>
          <w:color w:val="000000"/>
          <w:sz w:val="20"/>
        </w:rPr>
        <w:t>Revenue by Category.</w:t>
      </w:r>
      <w:r>
        <w:rPr>
          <w:color w:val="000000"/>
        </w:rPr>
        <w:t> </w:t>
      </w:r>
      <w:r>
        <w:rPr>
          <w:rFonts w:ascii="Times New Roman;serif" w:hAnsi="Times New Roman;serif"/>
          <w:b w:val="false"/>
          <w:color w:val="000000"/>
          <w:sz w:val="20"/>
        </w:rPr>
        <w:t xml:space="preserve">In the following tables, revenue is disaggregated by geographic area and major products and services. For more detailed information about reportable segments. (See </w:t>
      </w:r>
      <w:r>
        <w:rPr>
          <w:rFonts w:ascii="Times New Roman;serif" w:hAnsi="Times New Roman;serif"/>
          <w:b w:val="false"/>
          <w:i/>
          <w:color w:val="000000"/>
          <w:sz w:val="20"/>
        </w:rPr>
        <w:t xml:space="preserve">Note 16 - Segment Information </w:t>
      </w:r>
      <w:r>
        <w:rPr>
          <w:rFonts w:ascii="Times New Roman;serif" w:hAnsi="Times New Roman;serif"/>
          <w:b w:val="false"/>
          <w:color w:val="000000"/>
          <w:sz w:val="20"/>
        </w:rPr>
        <w:t>for additional information.</w:t>
      </w:r>
      <w:r>
        <w:rPr>
          <w:rFonts w:ascii="Times New Roman;serif" w:hAnsi="Times New Roman;serif"/>
          <w:b w:val="false"/>
          <w:i/>
          <w:color w:val="000000"/>
          <w:sz w:val="20"/>
        </w:rPr>
        <w:t>)</w:t>
      </w:r>
    </w:p>
    <w:tbl>
      <w:tblPr>
        <w:tblW w:w="10205" w:type="dxa"/>
        <w:jc w:val="left"/>
        <w:tblInd w:w="0" w:type="dxa"/>
        <w:tblLayout w:type="fixed"/>
        <w:tblCellMar>
          <w:top w:w="28" w:type="dxa"/>
          <w:left w:w="28" w:type="dxa"/>
          <w:bottom w:w="28" w:type="dxa"/>
          <w:right w:w="28" w:type="dxa"/>
        </w:tblCellMar>
      </w:tblPr>
      <w:tblGrid>
        <w:gridCol w:w="716"/>
        <w:gridCol w:w="629"/>
        <w:gridCol w:w="632"/>
        <w:gridCol w:w="467"/>
        <w:gridCol w:w="1597"/>
        <w:gridCol w:w="241"/>
        <w:gridCol w:w="109"/>
        <w:gridCol w:w="109"/>
        <w:gridCol w:w="109"/>
        <w:gridCol w:w="525"/>
        <w:gridCol w:w="1794"/>
        <w:gridCol w:w="271"/>
        <w:gridCol w:w="109"/>
        <w:gridCol w:w="109"/>
        <w:gridCol w:w="109"/>
        <w:gridCol w:w="260"/>
        <w:gridCol w:w="761"/>
        <w:gridCol w:w="134"/>
        <w:gridCol w:w="109"/>
        <w:gridCol w:w="109"/>
        <w:gridCol w:w="109"/>
        <w:gridCol w:w="211"/>
        <w:gridCol w:w="826"/>
        <w:gridCol w:w="160"/>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Gathering services and related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Natural gas, NGLs and condensate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9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Reportable Segments:</w:t>
            </w:r>
          </w:p>
        </w:tc>
        <w:tc>
          <w:tcPr>
            <w:tcW w:w="2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Rockies</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99,887 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Permian</w:t>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Mid-Con</w:t>
            </w:r>
          </w:p>
        </w:tc>
        <w:tc>
          <w:tcPr>
            <w:tcW w:w="2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Piceance</w:t>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2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155,013 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62,700 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84,116 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8,197 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155,013 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10"/>
        <w:gridCol w:w="624"/>
        <w:gridCol w:w="627"/>
        <w:gridCol w:w="424"/>
        <w:gridCol w:w="1663"/>
        <w:gridCol w:w="219"/>
        <w:gridCol w:w="109"/>
        <w:gridCol w:w="109"/>
        <w:gridCol w:w="109"/>
        <w:gridCol w:w="476"/>
        <w:gridCol w:w="1865"/>
        <w:gridCol w:w="245"/>
        <w:gridCol w:w="109"/>
        <w:gridCol w:w="109"/>
        <w:gridCol w:w="109"/>
        <w:gridCol w:w="238"/>
        <w:gridCol w:w="815"/>
        <w:gridCol w:w="122"/>
        <w:gridCol w:w="109"/>
        <w:gridCol w:w="109"/>
        <w:gridCol w:w="109"/>
        <w:gridCol w:w="211"/>
        <w:gridCol w:w="826"/>
        <w:gridCol w:w="159"/>
      </w:tblGrid>
      <w:tr>
        <w:trPr/>
        <w:tc>
          <w:tcPr>
            <w:tcW w:w="71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Gathering services and related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Natural gas, NGLs and condensate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Reportable Segments:</w:t>
            </w:r>
          </w:p>
        </w:tc>
        <w:tc>
          <w:tcPr>
            <w:tcW w:w="2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Rockies</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149,497 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185,990 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Permian</w:t>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Mid-Con</w:t>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65,642 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76,597 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Piceance</w:t>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2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122,270 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157,767 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294,155 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122,270 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157,767 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14,118 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294,155 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16"/>
        <w:gridCol w:w="629"/>
        <w:gridCol w:w="632"/>
        <w:gridCol w:w="467"/>
        <w:gridCol w:w="1597"/>
        <w:gridCol w:w="241"/>
        <w:gridCol w:w="109"/>
        <w:gridCol w:w="109"/>
        <w:gridCol w:w="109"/>
        <w:gridCol w:w="525"/>
        <w:gridCol w:w="1794"/>
        <w:gridCol w:w="271"/>
        <w:gridCol w:w="109"/>
        <w:gridCol w:w="109"/>
        <w:gridCol w:w="109"/>
        <w:gridCol w:w="260"/>
        <w:gridCol w:w="761"/>
        <w:gridCol w:w="134"/>
        <w:gridCol w:w="109"/>
        <w:gridCol w:w="109"/>
        <w:gridCol w:w="109"/>
        <w:gridCol w:w="211"/>
        <w:gridCol w:w="826"/>
        <w:gridCol w:w="160"/>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Gathering services and related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Natural gas, NGLs and condensate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9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Reportable Segments:</w:t>
            </w:r>
          </w:p>
        </w:tc>
        <w:tc>
          <w:tcPr>
            <w:tcW w:w="2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Rockies</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80,319 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Permian</w:t>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Mid-Con</w:t>
            </w:r>
          </w:p>
        </w:tc>
        <w:tc>
          <w:tcPr>
            <w:tcW w:w="2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Piceance</w:t>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2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64,182 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66,345 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140,217 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64,182 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66,345 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9,690 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140,217 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10"/>
        <w:gridCol w:w="624"/>
        <w:gridCol w:w="627"/>
        <w:gridCol w:w="424"/>
        <w:gridCol w:w="1663"/>
        <w:gridCol w:w="219"/>
        <w:gridCol w:w="109"/>
        <w:gridCol w:w="109"/>
        <w:gridCol w:w="109"/>
        <w:gridCol w:w="476"/>
        <w:gridCol w:w="1865"/>
        <w:gridCol w:w="245"/>
        <w:gridCol w:w="109"/>
        <w:gridCol w:w="109"/>
        <w:gridCol w:w="109"/>
        <w:gridCol w:w="238"/>
        <w:gridCol w:w="815"/>
        <w:gridCol w:w="122"/>
        <w:gridCol w:w="109"/>
        <w:gridCol w:w="109"/>
        <w:gridCol w:w="109"/>
        <w:gridCol w:w="211"/>
        <w:gridCol w:w="826"/>
        <w:gridCol w:w="159"/>
      </w:tblGrid>
      <w:tr>
        <w:trPr/>
        <w:tc>
          <w:tcPr>
            <w:tcW w:w="71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Gathering services and related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Natural gas, NGLs and condensate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Reportable Segments:</w:t>
            </w:r>
          </w:p>
        </w:tc>
        <w:tc>
          <w:tcPr>
            <w:tcW w:w="2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Rockies</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113,598 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Permian</w:t>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Mid-Con</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64,622 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79,590 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Piceance</w:t>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2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128,347 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125,672 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272,914 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128,347 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125,672 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18,895 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272,914 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vAlign w:val="center"/>
          </w:tcPr>
          <w:p>
            <w:pPr>
              <w:pStyle w:val="TableContents"/>
              <w:bidi w:val="0"/>
              <w:spacing w:before="0" w:after="283"/>
              <w:jc w:val="left"/>
              <w:rPr>
                <w:sz w:val="4"/>
                <w:szCs w:val="4"/>
              </w:rPr>
            </w:pPr>
            <w:r>
              <w:rPr>
                <w:sz w:val="4"/>
                <w:szCs w:val="4"/>
              </w:rPr>
            </w:r>
          </w:p>
        </w:tc>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5. PROPERTY, PLANT AND EQUIPMENT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Details on the Company’s property, plant and equipment follow:</w:t>
      </w:r>
    </w:p>
    <w:tbl>
      <w:tblPr>
        <w:tblW w:w="7893" w:type="dxa"/>
        <w:jc w:val="left"/>
        <w:tblInd w:w="0" w:type="dxa"/>
        <w:tblLayout w:type="fixed"/>
        <w:tblCellMar>
          <w:top w:w="28" w:type="dxa"/>
          <w:left w:w="28" w:type="dxa"/>
          <w:bottom w:w="28" w:type="dxa"/>
          <w:right w:w="28" w:type="dxa"/>
        </w:tblCellMar>
      </w:tblPr>
      <w:tblGrid>
        <w:gridCol w:w="1712"/>
        <w:gridCol w:w="1502"/>
        <w:gridCol w:w="1511"/>
        <w:gridCol w:w="211"/>
        <w:gridCol w:w="976"/>
        <w:gridCol w:w="109"/>
        <w:gridCol w:w="109"/>
        <w:gridCol w:w="109"/>
        <w:gridCol w:w="109"/>
        <w:gridCol w:w="243"/>
        <w:gridCol w:w="1125"/>
        <w:gridCol w:w="177"/>
      </w:tblGrid>
      <w:tr>
        <w:trPr/>
        <w:tc>
          <w:tcPr>
            <w:tcW w:w="171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and processing systems and related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2,451,820 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54,367 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line fill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70,756 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2,593,254 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(749,108)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1,839,292 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1,844,146 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and capitalized interest for the Company follow:</w:t>
      </w:r>
    </w:p>
    <w:tbl>
      <w:tblPr>
        <w:tblW w:w="7065" w:type="dxa"/>
        <w:jc w:val="left"/>
        <w:tblInd w:w="0" w:type="dxa"/>
        <w:tblLayout w:type="fixed"/>
        <w:tblCellMar>
          <w:top w:w="28" w:type="dxa"/>
          <w:left w:w="28" w:type="dxa"/>
          <w:bottom w:w="28" w:type="dxa"/>
          <w:right w:w="28" w:type="dxa"/>
        </w:tblCellMar>
      </w:tblPr>
      <w:tblGrid>
        <w:gridCol w:w="679"/>
        <w:gridCol w:w="597"/>
        <w:gridCol w:w="59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6. EQUITY METHOD INVESTMENT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has an equity method investment in Double E, the balance of which is included within the Investment in Double E caption on the unaudited condensed consolidated balance sheet. The Company has determined that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maximum exposure to loss associated with this investment is limited to its carrying value. No material guarantees, or other commitments to support the operations or obligations of the investee, are currently outstanding.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DEFERRED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balances in deferred revenue as of June 30, 2026 and December 31, 2025 are primarily related to contributions in aid of construction which will be recognized as revenue over the life of the contract. An update of current and noncurrent deferred revenue follows:</w:t>
      </w:r>
    </w:p>
    <w:tbl>
      <w:tblPr>
        <w:tblW w:w="9053" w:type="dxa"/>
        <w:jc w:val="left"/>
        <w:tblInd w:w="0" w:type="dxa"/>
        <w:tblLayout w:type="fixed"/>
        <w:tblCellMar>
          <w:top w:w="28" w:type="dxa"/>
          <w:left w:w="28" w:type="dxa"/>
          <w:bottom w:w="28" w:type="dxa"/>
          <w:right w:w="28" w:type="dxa"/>
        </w:tblCellMar>
      </w:tblPr>
      <w:tblGrid>
        <w:gridCol w:w="2387"/>
        <w:gridCol w:w="2098"/>
        <w:gridCol w:w="2114"/>
        <w:gridCol w:w="211"/>
        <w:gridCol w:w="721"/>
        <w:gridCol w:w="109"/>
        <w:gridCol w:w="109"/>
        <w:gridCol w:w="109"/>
        <w:gridCol w:w="109"/>
        <w:gridCol w:w="211"/>
        <w:gridCol w:w="721"/>
        <w:gridCol w:w="154"/>
      </w:tblGrid>
      <w:tr>
        <w:trPr/>
        <w:tc>
          <w:tcPr>
            <w:tcW w:w="2387"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Noncurrent</w:t>
            </w:r>
          </w:p>
        </w:tc>
      </w:tr>
      <w:tr>
        <w:trPr/>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revenue,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additions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reclassifications to current deferred revenue, revenue recognized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revenue, June 30,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Debt for the Company as of June 30, 2026, and December 31, 2025, follow:</w:t>
      </w:r>
    </w:p>
    <w:tbl>
      <w:tblPr>
        <w:tblW w:w="10205" w:type="dxa"/>
        <w:jc w:val="left"/>
        <w:tblInd w:w="0" w:type="dxa"/>
        <w:tblLayout w:type="fixed"/>
        <w:tblCellMar>
          <w:top w:w="28" w:type="dxa"/>
          <w:left w:w="28" w:type="dxa"/>
          <w:bottom w:w="28" w:type="dxa"/>
          <w:right w:w="28" w:type="dxa"/>
        </w:tblCellMar>
      </w:tblPr>
      <w:tblGrid>
        <w:gridCol w:w="2680"/>
        <w:gridCol w:w="2211"/>
        <w:gridCol w:w="2226"/>
        <w:gridCol w:w="211"/>
        <w:gridCol w:w="976"/>
        <w:gridCol w:w="109"/>
        <w:gridCol w:w="109"/>
        <w:gridCol w:w="109"/>
        <w:gridCol w:w="109"/>
        <w:gridCol w:w="230"/>
        <w:gridCol w:w="1065"/>
        <w:gridCol w:w="170"/>
      </w:tblGrid>
      <w:tr>
        <w:trPr/>
        <w:tc>
          <w:tcPr>
            <w:tcW w:w="2680"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71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Amended and Restated ABL Facility</w:t>
            </w:r>
            <w:r>
              <w:rPr>
                <w:rFonts w:ascii="Times New Roman;serif" w:hAnsi="Times New Roman;serif"/>
                <w:b w:val="false"/>
                <w:color w:val="000000"/>
                <w:sz w:val="20"/>
              </w:rPr>
              <w:t>: Summit Holdings’ asset based credit facility due July 2029</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113,000 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New Permian Transmission Facility:</w:t>
            </w:r>
            <w:r>
              <w:rPr>
                <w:color w:val="000000"/>
              </w:rPr>
              <w:t xml:space="preserve"> </w:t>
            </w:r>
            <w:r>
              <w:rPr>
                <w:rFonts w:ascii="Times New Roman;serif" w:hAnsi="Times New Roman;serif"/>
                <w:b w:val="false"/>
                <w:color w:val="000000"/>
                <w:sz w:val="20"/>
              </w:rPr>
              <w:t>Summit Permian Transmission’s variable rate senior secured term loan due March 2031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Legacy Permian Transmission Term Loan</w:t>
            </w:r>
            <w:r>
              <w:rPr>
                <w:rFonts w:ascii="Times New Roman;serif" w:hAnsi="Times New Roman;serif"/>
                <w:b w:val="false"/>
                <w:color w:val="000000"/>
                <w:sz w:val="20"/>
              </w:rPr>
              <w:t>: Summit Permian Transmission’s variable rate senior secured term loan due January 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116,998 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2029 Secured Notes:</w:t>
            </w:r>
            <w:r>
              <w:rPr>
                <w:color w:val="000000"/>
              </w:rPr>
              <w:t xml:space="preserve"> </w:t>
            </w:r>
            <w:r>
              <w:rPr>
                <w:rFonts w:ascii="Times New Roman;serif" w:hAnsi="Times New Roman;serif"/>
                <w:b w:val="false"/>
                <w:color w:val="000000"/>
                <w:sz w:val="20"/>
              </w:rPr>
              <w:t>8.625% senior secured second lien notes due October 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discount, premium and debt issuance costs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(9,428)</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 of unamortized debt discount, premium and debt issuance costs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1,045,570 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1,237,900 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1,024,347 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i/>
          <w:color w:val="000000"/>
          <w:sz w:val="20"/>
        </w:rPr>
        <w:t>Amended and Restated ABL Facility.</w:t>
      </w:r>
      <w:r>
        <w:rPr>
          <w:color w:val="000000"/>
        </w:rPr>
        <w:t xml:space="preserve"> </w:t>
      </w:r>
      <w:r>
        <w:rPr>
          <w:rFonts w:ascii="Times New Roman;serif" w:hAnsi="Times New Roman;serif"/>
          <w:b w:val="false"/>
          <w:color w:val="000000"/>
          <w:sz w:val="20"/>
        </w:rPr>
        <w:t xml:space="preserve">Concurrently with the issuance of the 2029 Secured Notes, as discussed below, on July 26, 2024, Summit Holdings, as borrower, amended and restated its existing first-lien, senior secured credit agreement pursuant to the Amended and Restated ABL Agreement, consisting of a $500.0 million asset-based revolving credit facility (the “Amended and Restated ABL Facility”), subject to a borrowing base comprised of a percentage of eligible accounts receivable of Summit Holdings and certain of its subsidiaries that guarantee the Amended and Restated ABL Facility (collectively, the “Amended and Restated ABL Facility Subsidiary Guarantors”) and a percentage of eligible above-ground fixed assets including eligible compression units, processing plants, compression stations and related equipment of Summit Holdings and the Amended and Restated ABL Facility Subsidiary Guarantors. As of June 30, 2026, the most recent borrowing base determination of eligible assets totaled $798.3 million, an amount greater than the $500.0 million of aggregate lending commitments.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Amended and Restated ABL Facility will mature on the earliest of (a) July 26, 2029, (b) July 31, 2029 if either (i) the outstanding amount of the 2029 Secured Notes (or any refinancing debt permitted under the Amended and Restated ABL Facility in respect thereof that has a final maturity date, scheduled amortization or any other scheduled repayment, mandatory prepayment, mandatory redemption or sinking fund obligation prior to the date that is 91 days after the Amended and Restated ABL Termination Date (as defined below) (provided, that the terms of such permitted refinancing debt may (x) require the payment of interest from time to time and (y) include customary mandatory redemptions, prepayments or offers to purchase with proceeds of asset sales or upon the occurrence of a change of control)) on such date equals or exceeds $50.0 million or (ii) the outstanding amount of such debt described in clause (i) above on such date is less than $50.0 million and Liquidity (as defined in the Amended and Restated ABL Agreement) at any time on or after such date is less than the sum of (A) such outstanding amount and (B) the greater of (x) 10% of the aggregate Commitments (as defined in the Amended and Restated ABL Agreement) then in effect and (y) $50.0 million (and, for the avoidance of doubt, once the Amended and Restated ABL Termination Date occurs it may not be unwound as a result of Liquidity (as defined in the Amended and Restated ABL Agreement) increasing on a subsequent date), and (c) any date on which the aggregate Commitments terminate thereunder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(such date, the “Amended and Restated ABL Termination Date”). As of June 30, 2026, the Amended and Restated ABL Facility will mature on July 26, 2029.</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the Amended and Restated ABL Facility bear interest, at the election of Summit Holdings, at a SOFR-based rate or a base rate, in each case, plus an applicable borrowing margin based on our Total Net Leverage Ratio (as defined in the Amended and Restated ABL Agreement consistent with the Amended and Restated ABL Facility). The applicable margin for base rate loans varies from 1.50% to 2.25% and the applicable margin for SOFR-based loans varies from 2.50% to 3.25%, in each case, depending on our Total Net Leverage Ratio (as defined in the Amended and Restated ABL Agreement).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Amended and Restated ABL Facility (together with certain Secured Bank Product Obligations (as defined in the Amended and Restated ABL Agreement)) is jointly and severally guaranteed, on a senior first-priority secured basis (subject to permitted liens), by SMLP, Summit Holdings and each of the Amended and Restated ABL Facility Subsidiary Guarantors.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Amended and Restated ABL Facility restricts, among other things, Summit Holdings’ and its Restricted Subsidiaries’ (as defined in the Amended and Restated ABL Agreement) ability and the ability of certain of their subsidiaries to: (i) incur additional debt or issue preferred stock; (ii) make distributions or repurchase equity; (iii) make payments on or redeem junior lien, unsecured or subordinated indebtedness; (iv) create liens or other encumbrances; (v) make investments, loans or other guarantees; (vi) engage in transactions with affiliates; and (viii) make acquisitions or merge or consolidate with another entity. These covenants are subject both to a number of important exceptions and qualifications.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Amended and Restated ABL Facility requires that Summit Holdings not permit (i) the First Lien Net Leverage Ratio (as defined in the Amended and Restated ABL Agreement) as of the last day of any fiscal quarter to be greater than 2.50:1.00, or (ii) the Interest Coverage Ratio (as defined in the Amended and Restated ABL Agreement) as of the last day of any fiscal quarter to be less than 2.00:1.00. As of June 30, 2026, the First Lien Net Leverage Ratio (as defined in the Amended and Restated ABL Agreement) was 0.29:1.00 and the Interest Coverage Ratio was 2.73:1.00. As of June 30, 2026, the Company was in compliance with the financial covenants of the Amended and Restated ABL Facility.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Amended and Restated ABL Facility contains certain events of default customary for instruments of this type. In the case of an event of default arising from certain events of bankruptcy, insolvency or reorganization with respect to Summit Holdings, all outstanding obligations (as defined in the Amended and Restated ABL Agreement) will become due and payable immediately without further action or notice and all Commitments (as defined in the Amended and Restated ABL Agreement) under the Amended and Restated ABL Facility will terminate.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Amended and Restated ABL Agreement, the obligations (as defined in the Amended and Restated ABL Agreement) are generally secured by a first priority lien on and security interest in (subject to permitted liens), subject to certain exclusions and limitations set forth in the Amended and Restated ABL Agreement, (i) substantially all of the personal property of Summit Holdings and the Amended and Restated ABL Facility Subsidiary Guarantors, (ii) all equity interests in Summit Holdings and certain other entities, all debt securities and certain rights related to the foregoing, in each case, owned by the Company, (iii) Closing Date Material Gathering Station Real Property and Closing Date Pipeline Material Gathering Station Real Property (each, as defined in the Amended and Restated ABL Agreement) and certain other material real property interests (including improvements thereon) of Summit Holdings and the Amended and Restated ABL Facility Subsidiary Guarantors as provided in the Amended and Restated ABL Agreement, and (iv) all proceeds of the foregoing collateral.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applicable margin under the adjusted SOFR borrowings was 2.750%, the interest rate was 6.49%, and the total available borrowing capacity totaled $418.3 million, after giving effect to the issuance of $2.7 million in outstanding but undrawn irrevocable standby letters of credit.</w:t>
      </w:r>
    </w:p>
    <w:p>
      <w:pPr>
        <w:pStyle w:val="TextBody"/>
        <w:bidi w:val="0"/>
        <w:spacing w:lineRule="auto" w:line="288" w:before="120" w:after="283"/>
        <w:jc w:val="left"/>
        <w:rPr/>
      </w:pPr>
      <w:r>
        <w:rPr>
          <w:rFonts w:ascii="Times New Roman;serif" w:hAnsi="Times New Roman;serif"/>
          <w:b/>
          <w:i/>
          <w:color w:val="000000"/>
          <w:sz w:val="20"/>
        </w:rPr>
        <w:t>Intercreditor Agreement.</w:t>
      </w:r>
      <w:r>
        <w:rPr>
          <w:color w:val="000000"/>
        </w:rPr>
        <w:t xml:space="preserve"> </w:t>
      </w:r>
      <w:r>
        <w:rPr>
          <w:rFonts w:ascii="Times New Roman;serif" w:hAnsi="Times New Roman;serif"/>
          <w:b w:val="false"/>
          <w:color w:val="000000"/>
          <w:sz w:val="20"/>
        </w:rPr>
        <w:t>On November 2, 2021, Summit Holdings and the other guarantors party thereto entered into an Intercreditor Agreement (as modified by the Notice of Reaffirmation (as defined below), the “Intercreditor Agreement”) with Bank of America, N.A., as first lien representative and collateral agent for the initial first lien claimholders, and Regions Bank, as initial second lien representative for the initial second lien claimholders and collateral agent for the initial second lien claimholders, which was reaffirmed by Bank of America, N.A., in connection with its entry into the Amended and Restated ABL Facility, and which Regions Bank joined as an additional second lien representative for the additional second lien claimholders and additional second lien collateral agent for the additional second lien claimholders, in each case, pursuant to that certain Notice and Reaffirmation of Intercreditor Agreement (the “Notice of Reaffirmation”), dated as of July 26, 2024, substantially concurrently with the entry into the Amended and Restated ABL Facility. The Intercreditor Agreement establishes (i) a first-priority lien (subject to permitted liens) status for the liens on the collateral securing the ABL Facility (and will apply to the Amended and Restated ABL Facility) and any additional first-lien indebtedness, and (ii) a junior priority lien (subject to permitted liens) status for the liens on the collateral securing the 2029 Secured Notes.</w:t>
      </w:r>
    </w:p>
    <w:p>
      <w:pPr>
        <w:pStyle w:val="TextBody"/>
        <w:bidi w:val="0"/>
        <w:spacing w:lineRule="auto" w:line="288" w:before="120" w:after="283"/>
        <w:jc w:val="left"/>
        <w:rPr/>
      </w:pPr>
      <w:r>
        <w:rPr>
          <w:rFonts w:ascii="Times New Roman;serif" w:hAnsi="Times New Roman;serif"/>
          <w:b/>
          <w:i/>
          <w:color w:val="000000"/>
          <w:sz w:val="20"/>
        </w:rPr>
        <w:t xml:space="preserve">New Permian Transmission Facility. </w:t>
      </w:r>
      <w:r>
        <w:rPr>
          <w:rFonts w:ascii="Times New Roman;serif" w:hAnsi="Times New Roman;serif"/>
          <w:b w:val="false"/>
          <w:color w:val="000000"/>
          <w:sz w:val="20"/>
        </w:rPr>
        <w:t xml:space="preserve">On March 16, 2026, SMC’s unrestricted subsidiary, Summit Permian Transmission, entered into a $440.0 million refinancing of the Legacy Permian Transmission Credit Facilities in the form of the New Permian Transmission Facility bearing interest at SOFR plus 4.00% per annum and with a maturity in March 2031 (the “New Permian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Transmission Facility”). The New Permian Transmission Facility consists of $340.0 million in initial term loan commitments, $50.0 million in delayed draw commitments (with a commitment fee of 1.00% per annum) and a $50.0 million uncommitted incremental facility. In accordance with the terms of the New Permian Transmission Facility, Summit Permian Transmission is required to make mandatory quarterly principal repayments in the amount of 0.25% of the principal amount outstanding on each quarterly payment date beginning March 31, 2027.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New Permian Transmission Facility is used to finance Summit Permian Transmission’s capital calls associated with its investment in Double E, debt service and for other general corporate purposes. Generally, unexpended proceeds from draws on the New Permian Transmission Facility are classified as restricted cash on the accompanying unaudited condensed consolidated balance sheets until such time Summit Permian Transmission’s total debt to EBITDA ratio, as defined, ratio is less than 6.00:1.00.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applicable margin under the adjusted term SOFR borrowings was 4.000% and the average interest rate was 7.70%. The available committed portion of the New Permian Transmission Facility totaled $40.0 million and is subject to a commitment fee of 1.0%. As of June 30, 2026, Summit Permian Transmission has outstanding letters of credit aggregating to $7.0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Summit Permian Transmission entered into interest rate hedges with notional amounts representing approximately 30% of the New Permian Transmission Facility at a fixed SOFR-based rate of 3.65%. As of June 30, 2026, the Company was in compliance with the financial covenants of the New Permian Transmission Facility.</w:t>
      </w:r>
    </w:p>
    <w:p>
      <w:pPr>
        <w:pStyle w:val="TextBody"/>
        <w:bidi w:val="0"/>
        <w:spacing w:lineRule="auto" w:line="288" w:before="120" w:after="283"/>
        <w:jc w:val="left"/>
        <w:rPr/>
      </w:pPr>
      <w:r>
        <w:rPr>
          <w:rFonts w:ascii="Times New Roman;serif" w:hAnsi="Times New Roman;serif"/>
          <w:b/>
          <w:i/>
          <w:color w:val="000000"/>
          <w:sz w:val="20"/>
        </w:rPr>
        <w:t>Legacy Permian Transmission Credit Facilities.</w:t>
      </w:r>
      <w:r>
        <w:rPr>
          <w:color w:val="000000"/>
        </w:rPr>
        <w:t xml:space="preserve"> </w:t>
      </w:r>
      <w:r>
        <w:rPr>
          <w:rFonts w:ascii="Times New Roman;serif" w:hAnsi="Times New Roman;serif"/>
          <w:b w:val="false"/>
          <w:color w:val="000000"/>
          <w:sz w:val="20"/>
        </w:rPr>
        <w:t xml:space="preserve">On March 8, 2021, SMLP’s unrestricted subsidiary, Summit Permian Transmission, entered into a Credit Agreement which allowed for $175.0 million of senior secured credit facilities (the “Legacy Permian Transmission Credit Facilities”), including a $160.0 million Term Loan Facility and a $15.0 million working capital facility. On March 16, 2026, Summit Permian Transmission refinanced the Legacy Permian Transmission Credit Facilities and all amounts previously outstanding were paid in full. </w:t>
      </w:r>
    </w:p>
    <w:p>
      <w:pPr>
        <w:pStyle w:val="TextBody"/>
        <w:bidi w:val="0"/>
        <w:spacing w:lineRule="auto" w:line="288" w:before="120" w:after="283"/>
        <w:jc w:val="left"/>
        <w:rPr/>
      </w:pPr>
      <w:r>
        <w:rPr>
          <w:rFonts w:ascii="Times New Roman;serif" w:hAnsi="Times New Roman;serif"/>
          <w:b/>
          <w:i/>
          <w:color w:val="000000"/>
          <w:sz w:val="20"/>
        </w:rPr>
        <w:t xml:space="preserve">Legacy Permian Transmission Term Loan. </w:t>
      </w:r>
      <w:r>
        <w:rPr>
          <w:rFonts w:ascii="Times New Roman;serif" w:hAnsi="Times New Roman;serif"/>
          <w:b w:val="false"/>
          <w:color w:val="000000"/>
          <w:sz w:val="20"/>
        </w:rPr>
        <w:t xml:space="preserve">In accordance with the terms of the Legacy Permian Transmission Credit Facilities, in January 2022, the Permian Term Loan Facility was converted into a Term Loan (the “Legacy Permian Transmission Term Loan”). The Legacy Permian Transmission Term Loan was due January 2028. On March 16, 2026, Summit Permian Transmission refinanced the Legacy Permian Transmission Credit Facilities and all amounts previously outstanding, including the Legacy Permian Transmission Term Loan, were paid in full. </w:t>
      </w:r>
    </w:p>
    <w:p>
      <w:pPr>
        <w:pStyle w:val="TextBody"/>
        <w:bidi w:val="0"/>
        <w:spacing w:lineRule="auto" w:line="288" w:before="120" w:after="283"/>
        <w:jc w:val="left"/>
        <w:rPr/>
      </w:pPr>
      <w:r>
        <w:rPr>
          <w:rFonts w:ascii="Times New Roman;serif" w:hAnsi="Times New Roman;serif"/>
          <w:b/>
          <w:i/>
          <w:color w:val="000000"/>
          <w:sz w:val="20"/>
        </w:rPr>
        <w:t>2029 Secured Notes</w:t>
      </w:r>
      <w:r>
        <w:rPr>
          <w:rFonts w:ascii="Times New Roman;serif" w:hAnsi="Times New Roman;serif"/>
          <w:b/>
          <w:color w:val="000000"/>
          <w:sz w:val="20"/>
        </w:rPr>
        <w:t xml:space="preserve">. </w:t>
      </w:r>
      <w:r>
        <w:rPr>
          <w:rFonts w:ascii="Times New Roman;serif" w:hAnsi="Times New Roman;serif"/>
          <w:b w:val="false"/>
          <w:color w:val="000000"/>
          <w:sz w:val="20"/>
        </w:rPr>
        <w:t xml:space="preserve">On July 26, 2024, Summit Holdings issued $575.0 million aggregate principal amount of 8.625% Senior Secured Second Lien Notes due 2029 (the “2029 Secured Notes”). The 2029 Secured Notes are guaranteed on a senior second-priority basis by Summit Midstream Corporation and certain of Summit Midstream Corporation’s existing and future subsidiaries and are secured on a second-priority basis by substantially the same collateral that is pledged for the benefit of the lenders under the Amended and Restated ABL Facility. On January 10, 2025, Summit Holdings issued an additional $250.0 million in aggregate principal amount of 2029 Secured Notes, at a price of 103.375% of their face value, as additional notes under the same indenture pursuant to which, on July 26, 2024, Summit Holdings issued $575.0 million in aggregate principal amount of 2029 Secured Notes. As of June 30, 2026, $825.0 million of the 2029 Secured Notes were outstanding. The 2029 Secured Notes mature on October 31, 2029, and have interest payable semi-annually in arrears on each February 15 and August 15.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or after July 31, 2026, Summit Holdings may redeem all or a portion of the 2029 Secured Notes in whole at any time or in part from time to time at the following redemption prices (expressed as percentages of the principal amount) plus accrued and unpaid interest if redeemed during the periods indicated below:</w:t>
      </w:r>
    </w:p>
    <w:tbl>
      <w:tblPr>
        <w:tblW w:w="4733" w:type="dxa"/>
        <w:jc w:val="left"/>
        <w:tblInd w:w="0" w:type="dxa"/>
        <w:tblLayout w:type="fixed"/>
        <w:tblCellMar>
          <w:top w:w="28" w:type="dxa"/>
          <w:left w:w="28" w:type="dxa"/>
          <w:bottom w:w="28" w:type="dxa"/>
          <w:right w:w="28" w:type="dxa"/>
        </w:tblCellMar>
      </w:tblPr>
      <w:tblGrid>
        <w:gridCol w:w="939"/>
        <w:gridCol w:w="826"/>
        <w:gridCol w:w="830"/>
        <w:gridCol w:w="109"/>
        <w:gridCol w:w="109"/>
        <w:gridCol w:w="109"/>
        <w:gridCol w:w="413"/>
        <w:gridCol w:w="413"/>
        <w:gridCol w:w="985"/>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Redemption Price</w:t>
            </w:r>
          </w:p>
        </w:tc>
      </w:tr>
      <w:tr>
        <w:trPr/>
        <w:tc>
          <w:tcPr>
            <w:tcW w:w="25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July 31, 2026 to July 30, 2027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104.313 </w:t>
            </w:r>
          </w:p>
        </w:tc>
        <w:tc>
          <w:tcPr>
            <w:tcW w:w="98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July 31, 2027 to July 30,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102.156 </w:t>
            </w:r>
          </w:p>
        </w:tc>
        <w:tc>
          <w:tcPr>
            <w:tcW w:w="98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CFF0FC"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July 31, 2028 and thereafter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985" w:type="dxa"/>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was in compliance with the financial covenants of the indenture governing the 2029 Secured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COMMITMENTS AND CONTINGENCIES</w:t>
      </w:r>
    </w:p>
    <w:p>
      <w:pPr>
        <w:pStyle w:val="TextBody"/>
        <w:bidi w:val="0"/>
        <w:spacing w:lineRule="auto" w:line="288" w:before="120" w:after="283"/>
        <w:jc w:val="left"/>
        <w:rPr/>
      </w:pPr>
      <w:r>
        <w:rPr>
          <w:rFonts w:ascii="Times New Roman;serif" w:hAnsi="Times New Roman;serif"/>
          <w:b/>
          <w:i/>
          <w:color w:val="000000"/>
          <w:sz w:val="20"/>
        </w:rPr>
        <w:t>Environmental Matters.</w:t>
      </w:r>
      <w:r>
        <w:rPr>
          <w:color w:val="000000"/>
        </w:rPr>
        <w:t> </w:t>
      </w:r>
      <w:r>
        <w:rPr>
          <w:rFonts w:ascii="Times New Roman;serif" w:hAnsi="Times New Roman;serif"/>
          <w:b w:val="false"/>
          <w:color w:val="000000"/>
          <w:sz w:val="20"/>
        </w:rPr>
        <w:t>Although the Company believes that it is in material compliance with applicable environmental regulations, the risk of environmental remediation costs and liabilities are inherent in pipeline ownership and operation. Furthermore, the Company can provide no assurances that significant environmental remediation costs and liabilities will not be incurred in the future. The Company is currently not aware of any material contingent liabilities that exist with respect to environmental matters, except as noted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has recognized (i) a current liability for remediation effort expenditures expected to be incurred within the next 12 months, and (ii) a noncurrent liability for estimated remediation expenditures expected to be incurred subsequent to June 30, 2027. Each of these amounts represent the Company’s best estimate for costs expected to be incurred. Neither of these amounts has been discounted to present value.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 update of the Company’s undiscounted accrued environmental remediation is as follows and is primarily related to the 2015 Blacktail Release and other environmental remediation activities, as detailed below.</w:t>
      </w:r>
    </w:p>
    <w:tbl>
      <w:tblPr>
        <w:tblW w:w="6089" w:type="dxa"/>
        <w:jc w:val="left"/>
        <w:tblInd w:w="0" w:type="dxa"/>
        <w:tblLayout w:type="fixed"/>
        <w:tblCellMar>
          <w:top w:w="28" w:type="dxa"/>
          <w:left w:w="28" w:type="dxa"/>
          <w:bottom w:w="28" w:type="dxa"/>
          <w:right w:w="28" w:type="dxa"/>
        </w:tblCellMar>
      </w:tblPr>
      <w:tblGrid>
        <w:gridCol w:w="1777"/>
        <w:gridCol w:w="1562"/>
        <w:gridCol w:w="1565"/>
        <w:gridCol w:w="255"/>
        <w:gridCol w:w="744"/>
        <w:gridCol w:w="186"/>
      </w:tblGrid>
      <w:tr>
        <w:trPr/>
        <w:tc>
          <w:tcPr>
            <w:tcW w:w="1777"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Accrued environmental remediation, December 31, 2025</w:t>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Payments made</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estimates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Accrued environmental remediation, June 30, 2026</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2015, SMLP learned of the rupture of a four-inch produced water gathering pipeline on the Meadowlark Midstream system near Williston, North Dakota (“2015 Blacktail Release”). On August 4, 2021, subsidiaries of SMLP entered into the following agreements to resolve the U.S. federal and North Dakota state governments’ environmental claims with respect to the 2015 Blacktail Release: (i) a Consent Decree with the U.S. Department of Justice (“DOJ”), the U.S. Environmental Protection Agency (“EPA”), and the State of North Dakota (“Consent Decree”); (ii) a Plea Agreement with the United States (“Plea Agreement”); and (iii) a Consent Agreement with the North Dakota Industrial Commission (“Consent Agreement” together with the Consent Decree and Plea Agreement, the “Global Settlement”). As of June 30, 2026 and December 31, 2025, the accrued loss liability for the 2015 Blacktail Release was $8.3 million and is recorded within accrued settlement payable on the condensed consolidated balance sheets.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Key terms of the Global Settlement included (i) payment of penalties and fines totaling $36.3 million, consisting of $1.25 million in natural resource damages payable to federal and state governments, $25.0 million payable to the federal government over 5 years, and $10.0 million payable to state governments over, for the federal and state civil amounts, six years and, for the federal criminal amounts, five years, with interest applied to unpaid amounts accruing at, for the federal and state civil amounts, a fixed rate of 3.25% and, for the federal criminal amounts, a variable rate set by statute, and of which $8.3 million is expected to be paid within the next twelve months; (ii) continuation of remediation efforts at the site of the 2015 Blacktail Release; (iii) other injunctive relief, including, but not limited to, control room management, environmental management system audit, training, and reporting; (iv) guilty pleas by defendant Summit Midstream Partners, LLC (the “Defendant”) for (a) one charge of negligent discharge of a harmful quantity of oil and (b) one charge of knowing failure to immediately report a discharge of oil; and (v) organizational probation for a minimum period of three years from sentencing on December 6, 2021, including payment in full of certain components of the fines and penalty amounts. The agreements comprising the Global Settlement were subject to the approval of the U.S. District Court for the District of North Dakota (the “U.S. District Court”). The U.S. District Court entered an order making the civil components of the Global Settlement effective on September 28, 2021, and accepted the sentencing in the Plea Agreement on December 6, 2021, completing approval of the Global Settlement.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Subsidiaries of the Company are also participating in two proceedings before the EPA as a result of the Plea Agreement becoming effective. Following the U.S. District Court’s entering judgment on Defendant subsidiary’s guilty plea to one count of negligent discharge of produced water in violation of the Clean Water Act, Defendant subsidiary was statutorily debarred by operation of law pursuant to 33 U.S.C. § 1368(a) to participate in federal awards performed at the “violating facility,” which EPA determined to be the Marmon subsystem of the produced water gathering system in North Dakota. The scope and effect of the debarment as defined do not materially affect our operations. Defendant has submitted a petition for reinstatement, which was denied by the EPA’s suspension and debarment office (“SDO”) on July 11, 2022. The SDO determined that the term of probation in the Plea Agreement was the appropriate period of time to demonstrate Defendant subsidiary’s change of corporate attitude, policies, practices, and procedures. SMLP and certain subsidiaries of the Company have also received a show cause notice from the EPA requesting us to “show cause” why SDO should not issue a Notice of Proposed Debarment to the Defendant subsidiary and certain affiliates under 2 C.F.R. § 180.800(d), to which SMLP has responded, and in which proceeding no further developments have occurred. </w:t>
      </w:r>
    </w:p>
    <w:p>
      <w:pPr>
        <w:pStyle w:val="TextBody"/>
        <w:bidi w:val="0"/>
        <w:spacing w:lineRule="auto" w:line="288" w:before="120" w:after="283"/>
        <w:jc w:val="left"/>
        <w:rPr/>
      </w:pPr>
      <w:r>
        <w:rPr>
          <w:rFonts w:ascii="Times New Roman;serif" w:hAnsi="Times New Roman;serif"/>
          <w:b/>
          <w:i/>
          <w:color w:val="000000"/>
          <w:sz w:val="20"/>
        </w:rPr>
        <w:t>Legal Proceedings.</w:t>
      </w:r>
      <w:r>
        <w:rPr>
          <w:color w:val="000000"/>
        </w:rPr>
        <w:t> </w:t>
      </w:r>
      <w:r>
        <w:rPr>
          <w:rFonts w:ascii="Times New Roman;serif" w:hAnsi="Times New Roman;serif"/>
          <w:b w:val="false"/>
          <w:color w:val="000000"/>
          <w:sz w:val="20"/>
        </w:rPr>
        <w:t>The Company is involved in various litigation and administrative proceedings arising in the ordinary course of business. In the opinion of management, any liabilities, which include insured claims, would not individually or in the aggregate have a material adverse effect on the Company’s financial position or results of operations. When a liability is covered by insurance, the Company reports the gross liability for the loss and a separate asset for the estimate of the probable amount recoverable from the insurance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10. FINANCIAL INSTRUMENTS</w:t>
      </w:r>
    </w:p>
    <w:p>
      <w:pPr>
        <w:pStyle w:val="TextBody"/>
        <w:bidi w:val="0"/>
        <w:spacing w:lineRule="auto" w:line="288" w:before="120" w:after="283"/>
        <w:jc w:val="left"/>
        <w:rPr/>
      </w:pPr>
      <w:r>
        <w:rPr>
          <w:rFonts w:ascii="Times New Roman;serif" w:hAnsi="Times New Roman;serif"/>
          <w:b/>
          <w:i/>
          <w:color w:val="000000"/>
          <w:sz w:val="20"/>
        </w:rPr>
        <w:t>Fair Value.</w:t>
      </w:r>
      <w:r>
        <w:rPr>
          <w:color w:val="000000"/>
        </w:rPr>
        <w:t> </w:t>
      </w:r>
      <w:r>
        <w:rPr>
          <w:rFonts w:ascii="Times New Roman;serif" w:hAnsi="Times New Roman;serif"/>
          <w:b w:val="false"/>
          <w:color w:val="000000"/>
          <w:sz w:val="20"/>
        </w:rPr>
        <w:t>A summary of the estimated fair value of our debt financial instruments follow:</w:t>
      </w:r>
    </w:p>
    <w:tbl>
      <w:tblPr>
        <w:tblW w:w="7349" w:type="dxa"/>
        <w:jc w:val="left"/>
        <w:tblInd w:w="0" w:type="dxa"/>
        <w:tblLayout w:type="fixed"/>
        <w:tblCellMar>
          <w:top w:w="28" w:type="dxa"/>
          <w:left w:w="28" w:type="dxa"/>
          <w:bottom w:w="28" w:type="dxa"/>
          <w:right w:w="28" w:type="dxa"/>
        </w:tblCellMar>
      </w:tblPr>
      <w:tblGrid>
        <w:gridCol w:w="629"/>
        <w:gridCol w:w="554"/>
        <w:gridCol w:w="55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88" w:before="0" w:after="0"/>
              <w:jc w:val="center"/>
              <w:rPr/>
            </w:pPr>
            <w:r>
              <w:rPr>
                <w:rFonts w:ascii="Times New Roman;serif" w:hAnsi="Times New Roman;serif"/>
                <w:b/>
                <w:color w:val="000000"/>
                <w:sz w:val="16"/>
              </w:rPr>
              <w:t xml:space="preserve">Value </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88" w:before="0" w:after="0"/>
              <w:jc w:val="center"/>
              <w:rPr/>
            </w:pPr>
            <w:r>
              <w:rPr>
                <w:rFonts w:ascii="Times New Roman;serif" w:hAnsi="Times New Roman;serif"/>
                <w:b/>
                <w:color w:val="000000"/>
                <w:sz w:val="16"/>
              </w:rPr>
              <w:t xml:space="preserve">Value </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br/>
              <w:t>(Level 2)</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 Secured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Excludes applicable unamortized debt issuance costs, debt discounts, and debt premiums.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carrying values on the balance sheets of the Amended and Restated ABL Facility, the New Permian Transmission Facility, and the Legacy Permian Transmission Term Loan represent their fair value due to their floating interest rates. The fair value of the 2029 Secured Notes is based on an average of nonbinding broker quotes as of June 30, 2026 and December 31, 2025. The use of different market assumptions or valuation methodologies may have a material effect on their estimated fair value.</w:t>
      </w:r>
    </w:p>
    <w:p>
      <w:pPr>
        <w:pStyle w:val="TextBody"/>
        <w:bidi w:val="0"/>
        <w:spacing w:lineRule="auto" w:line="288" w:before="120" w:after="283"/>
        <w:jc w:val="left"/>
        <w:rPr/>
      </w:pPr>
      <w:r>
        <w:rPr>
          <w:rFonts w:ascii="Times New Roman;serif" w:hAnsi="Times New Roman;serif"/>
          <w:b/>
          <w:i/>
          <w:color w:val="000000"/>
          <w:sz w:val="20"/>
        </w:rPr>
        <w:t xml:space="preserve">Related Party - Tall Oak Deferred Earn-Out. </w:t>
      </w:r>
      <w:r>
        <w:rPr>
          <w:rFonts w:ascii="Times New Roman;serif" w:hAnsi="Times New Roman;serif"/>
          <w:b w:val="false"/>
          <w:color w:val="000000"/>
          <w:sz w:val="20"/>
        </w:rPr>
        <w:t xml:space="preserve">In connection with the Tall Oak Acquisition in 2024, the Company recognized a deferred earn-out liability to Tall Oak Parent, a related party. On March 31, 2026, the deferred earn-out was settled with Tall Oak Parent in full, with Tall Oak Parent receiving a cash payment of $22.0 million. As of December 31, 2025, the estimated fair value of the deferred earn-out was $21.5 million and was reflected within other current liabilities. During the six months ended June 30, 2026 and 2025, the Company recorded a $0.5 million loss and an $8.5 million gain on the fair value remeasurement of the Tall Oak deferred earn-out, respectively. (See </w:t>
      </w:r>
      <w:r>
        <w:rPr>
          <w:rFonts w:ascii="Times New Roman;serif" w:hAnsi="Times New Roman;serif"/>
          <w:b w:val="false"/>
          <w:i/>
          <w:color w:val="000000"/>
          <w:sz w:val="20"/>
        </w:rPr>
        <w:t xml:space="preserve">Note 10 - Financial Instruments </w:t>
      </w:r>
      <w:r>
        <w:rPr>
          <w:rFonts w:ascii="Times New Roman;serif" w:hAnsi="Times New Roman;serif"/>
          <w:b w:val="false"/>
          <w:color w:val="000000"/>
          <w:sz w:val="20"/>
        </w:rPr>
        <w:t>for additional information.)</w:t>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The estimated fair value of the Company’s deferred earn-out was remeasured at each reporting period and estimated using discounted cash flow techniques with appropriate discount rates. Given the unobservable nature of the inputs, the fair value measurement of the deferred earn-out was deemed to use Level 3 inputs.</w:t>
      </w:r>
    </w:p>
    <w:p>
      <w:pPr>
        <w:pStyle w:val="TextBody"/>
        <w:bidi w:val="0"/>
        <w:spacing w:lineRule="auto" w:line="288" w:before="120" w:after="283"/>
        <w:jc w:val="left"/>
        <w:rPr/>
      </w:pPr>
      <w:r>
        <w:rPr>
          <w:rFonts w:ascii="Times New Roman;serif" w:hAnsi="Times New Roman;serif"/>
          <w:b/>
          <w:i/>
          <w:color w:val="000000"/>
          <w:sz w:val="20"/>
        </w:rPr>
        <w:t>Interest Rate Swaps.</w:t>
      </w:r>
      <w:r>
        <w:rPr>
          <w:color w:val="000000"/>
        </w:rPr>
        <w:t> </w:t>
      </w:r>
      <w:r>
        <w:rPr>
          <w:rFonts w:ascii="Times New Roman;serif" w:hAnsi="Times New Roman;serif"/>
          <w:b w:val="false"/>
          <w:color w:val="000000"/>
          <w:sz w:val="20"/>
        </w:rPr>
        <w:t xml:space="preserve">For both the New Permian Transmission Facility and the Legacy Permian Transmission Term Loan, the Company entered into amortizing interest rate swap agreements. These interest rate swaps manage exposure to variability in expected cash flows attributable to interest rate risk. Interest rate swaps convert a portion of the Company’s variable rate debt to fixed rate debt, and the Company chooses counterparties for its derivative instruments that it believes are creditworthy at the time the transactions are entered into. However, there can be no assurance that a counterparty will be able to meet its obligations to the Company. The Company presents its derivative positions on a gross basis and does not net the asset and liability positions.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outstanding notional amounts of interest rate swaps was $100.0 million and $101.5 million, respectively. As of June 30, 2026, the Company’s interest rate swap agreement was in an asset position and had a fair value of $0.6 million and is recorded within other noncurrent assets within the unaudited condensed consolidated balance sheet. As of December 31, 2025, the Company’s interest rate swap agreements had a fair value of $6.6 million and is recorded within other noncurrent assets within the unaudited condensed consolidated balance sheet. The derivative instruments’ fair value are determined using level 2 inputs from the fair value hierarchy.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and 2025, the Company recorded a gain on interest rate swaps of $0.9 million and a loss of $0.5 million, respectively. For the six months ended June 30, 2026 and 2025, the Company recorded a gain of $0.8 million and a loss of $1.5 million, respectively.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2026 refinancing of the Legacy Permian Transmission Term Loan, the Company settled its then outstanding amortizing interest rate swap agreements for $6.7 million in cash.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11. EQUITY AND MEZZANINE EQUITY</w:t>
      </w:r>
    </w:p>
    <w:p>
      <w:pPr>
        <w:pStyle w:val="TextBody"/>
        <w:bidi w:val="0"/>
        <w:spacing w:lineRule="auto" w:line="288" w:before="120" w:after="283"/>
        <w:jc w:val="left"/>
        <w:rPr/>
      </w:pPr>
      <w:r>
        <w:rPr>
          <w:rFonts w:ascii="Times New Roman;serif" w:hAnsi="Times New Roman;serif"/>
          <w:b/>
          <w:i/>
          <w:color w:val="000000"/>
          <w:sz w:val="20"/>
        </w:rPr>
        <w:t>Common Stock.</w:t>
      </w:r>
      <w:r>
        <w:rPr>
          <w:color w:val="000000"/>
        </w:rPr>
        <w:t xml:space="preserve"> </w:t>
      </w:r>
      <w:r>
        <w:rPr>
          <w:rFonts w:ascii="Times New Roman;serif" w:hAnsi="Times New Roman;serif"/>
          <w:b w:val="false"/>
          <w:color w:val="000000"/>
          <w:sz w:val="20"/>
        </w:rPr>
        <w:t>An update on the number of shares of outstanding common stock follows for the period from December 31, 2025 to June 30, 2026:</w:t>
      </w:r>
    </w:p>
    <w:tbl>
      <w:tblPr>
        <w:tblW w:w="7121" w:type="dxa"/>
        <w:jc w:val="left"/>
        <w:tblInd w:w="0" w:type="dxa"/>
        <w:tblLayout w:type="fixed"/>
        <w:tblCellMar>
          <w:top w:w="28" w:type="dxa"/>
          <w:left w:w="28" w:type="dxa"/>
          <w:bottom w:w="28" w:type="dxa"/>
          <w:right w:w="28" w:type="dxa"/>
        </w:tblCellMar>
      </w:tblPr>
      <w:tblGrid>
        <w:gridCol w:w="1636"/>
        <w:gridCol w:w="1440"/>
        <w:gridCol w:w="1453"/>
        <w:gridCol w:w="109"/>
        <w:gridCol w:w="109"/>
        <w:gridCol w:w="109"/>
        <w:gridCol w:w="662"/>
        <w:gridCol w:w="662"/>
        <w:gridCol w:w="941"/>
      </w:tblGrid>
      <w:tr>
        <w:trPr/>
        <w:tc>
          <w:tcPr>
            <w:tcW w:w="1636"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 of Common Stock</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Shares,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12,262,320 </w:t>
            </w:r>
          </w:p>
        </w:tc>
        <w:tc>
          <w:tcPr>
            <w:tcW w:w="9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for SMC LTIP,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203,913 </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shares issued for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1,351,351 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shares under Share Repurchase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(34,624)</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Shares,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13,782,960 </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i/>
          <w:color w:val="000000"/>
          <w:sz w:val="20"/>
        </w:rPr>
        <w:t>Related Party Shares Issued for Cash.</w:t>
      </w:r>
      <w:r>
        <w:rPr>
          <w:color w:val="000000"/>
        </w:rPr>
        <w:t xml:space="preserve"> </w:t>
      </w:r>
      <w:r>
        <w:rPr>
          <w:rFonts w:ascii="Times New Roman;serif" w:hAnsi="Times New Roman;serif"/>
          <w:b w:val="false"/>
          <w:color w:val="000000"/>
          <w:sz w:val="20"/>
        </w:rPr>
        <w:t>On March 31, 2026, pursuant to a Securities Purchase Agreement (the “Purchase Agreement”), by and among the Company, SMLP, and Tall Oak Parent, and solely for purposes of modifying certain existing registration rights as detailed in the Purchase Agreement, Connect Midstream, LLC, a Delaware limited liability company, the Company issued and sold to Tall Oak Parent 1,351,351 shares of common stock of the Company in exchange for $41.5 million of cash proceeds, net of $0.5 million of issuance costs. The shares were issued at a price of $31.08 per share, which represented the “Minimum Price” in accordance with NYSE regulations. The shares are subject to a 6-month lock up period and other terms and conditions.</w:t>
      </w:r>
    </w:p>
    <w:p>
      <w:pPr>
        <w:pStyle w:val="TextBody"/>
        <w:bidi w:val="0"/>
        <w:spacing w:lineRule="auto" w:line="288" w:before="120" w:after="120"/>
        <w:jc w:val="left"/>
        <w:rPr/>
      </w:pPr>
      <w:r>
        <w:rPr>
          <w:rFonts w:ascii="Times New Roman;serif" w:hAnsi="Times New Roman;serif"/>
          <w:b/>
          <w:i/>
          <w:color w:val="000000"/>
          <w:sz w:val="20"/>
        </w:rPr>
        <w:t>Share Repurchase Program.</w:t>
      </w:r>
      <w:r>
        <w:rPr>
          <w:color w:val="000000"/>
        </w:rPr>
        <w:t xml:space="preserve"> </w:t>
      </w:r>
      <w:r>
        <w:rPr>
          <w:rFonts w:ascii="Times New Roman;serif" w:hAnsi="Times New Roman;serif"/>
          <w:b w:val="false"/>
          <w:color w:val="000000"/>
          <w:sz w:val="20"/>
        </w:rPr>
        <w:t xml:space="preserve">In June 2026, the Company’s Board of Directors authorized a share repurchase program to repurchase up to $35.0 million of the Company’s outstanding common stock (the “Share Repurchase Program”). Under the Share Repurchase Program, repurchases of shares of the Company’s common stock may be made from time to time in the open market, through privately negotiated transactions, block purchases, or otherwise, including through a Rule 10b5-1 trading plan, in compliance with applicable federal and state securities laws, including Rule 10b-18 under the Securities Exchange Act of 1934, as amended. The timing and amount of any repurchases will be determined by management at its discretion based on a variety of factors, including business and market conditions, the trading price of the Company’s common stock, compliance with debt covenants, and certain other considerations. The Share Repurchase Program does not obligate the Company to repurchase any specific number of shares, has no fixed expiration date, and may be suspended or discontinued at any time.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has repurchased 34,624 shares of common stock for an aggregate purchase price of $1.0 million, excluding applicable excise taxes, under the Share Repurchase Program. As of June 30, 2026, approximately $34.0 million remained available for future repurchases. </w:t>
      </w:r>
    </w:p>
    <w:p>
      <w:pPr>
        <w:pStyle w:val="TextBody"/>
        <w:bidi w:val="0"/>
        <w:spacing w:lineRule="auto" w:line="288" w:before="120" w:after="283"/>
        <w:jc w:val="left"/>
        <w:rPr/>
      </w:pPr>
      <w:r>
        <w:rPr>
          <w:rFonts w:ascii="Times New Roman;serif" w:hAnsi="Times New Roman;serif"/>
          <w:b/>
          <w:i/>
          <w:color w:val="000000"/>
          <w:sz w:val="20"/>
        </w:rPr>
        <w:t xml:space="preserve">Class B Common Stock. </w:t>
      </w:r>
      <w:r>
        <w:rPr>
          <w:rFonts w:ascii="Times New Roman;serif" w:hAnsi="Times New Roman;serif"/>
          <w:b w:val="false"/>
          <w:color w:val="000000"/>
          <w:sz w:val="20"/>
        </w:rPr>
        <w:t>In the Tall Oak Acquisition, the Company issued shares of non-economic Class B Common Stock to Tall Oak Parent. Shares of Class B Common Stock have Company voting rights and are exchangeable along with the associated Partnership Common Units for shares of our common stock at the election of the holder for no additional consideration.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 update on the number of shares of Class B Common Stock follows for the period from December 31, 2025 to June 30, 2026.</w:t>
      </w:r>
    </w:p>
    <w:tbl>
      <w:tblPr>
        <w:tblW w:w="4514" w:type="dxa"/>
        <w:jc w:val="left"/>
        <w:tblInd w:w="0" w:type="dxa"/>
        <w:tblLayout w:type="fixed"/>
        <w:tblCellMar>
          <w:top w:w="28" w:type="dxa"/>
          <w:left w:w="28" w:type="dxa"/>
          <w:bottom w:w="28" w:type="dxa"/>
          <w:right w:w="28" w:type="dxa"/>
        </w:tblCellMar>
      </w:tblPr>
      <w:tblGrid>
        <w:gridCol w:w="867"/>
        <w:gridCol w:w="763"/>
        <w:gridCol w:w="769"/>
        <w:gridCol w:w="618"/>
        <w:gridCol w:w="618"/>
        <w:gridCol w:w="879"/>
      </w:tblGrid>
      <w:tr>
        <w:trPr/>
        <w:tc>
          <w:tcPr>
            <w:tcW w:w="86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 of</w:t>
              <w:br/>
              <w:t>Class B Common Stock</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Shares, December 31, 2025</w:t>
            </w:r>
          </w:p>
        </w:tc>
        <w:tc>
          <w:tcPr>
            <w:tcW w:w="12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6,524,467 </w:t>
            </w:r>
          </w:p>
        </w:tc>
        <w:tc>
          <w:tcPr>
            <w:tcW w:w="8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activity</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Shares, June 30, 2026</w:t>
            </w:r>
          </w:p>
        </w:tc>
        <w:tc>
          <w:tcPr>
            <w:tcW w:w="12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6,524,467 </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i/>
          <w:color w:val="000000"/>
          <w:sz w:val="20"/>
        </w:rPr>
        <w:t>Series A Preferred Stock.</w:t>
      </w:r>
      <w:r>
        <w:rPr>
          <w:color w:val="000000"/>
        </w:rPr>
        <w:t xml:space="preserve"> </w:t>
      </w:r>
      <w:r>
        <w:rPr>
          <w:rFonts w:ascii="Times New Roman;serif" w:hAnsi="Times New Roman;serif"/>
          <w:b w:val="false"/>
          <w:color w:val="000000"/>
          <w:sz w:val="20"/>
        </w:rPr>
        <w:t>The Series A Preferred Stock ranks senior to (i) shares of common stock and Class B Common Stock and (ii) each other class or series of company interests or other equity securities in the Company that may be established in the future that expressly ranks junior to the Series A Preferred Stock as to the payment of dividends and amounts payable upon a liquidation event. The Series A Preferred Stock ranks equal in all respects with each class or series of company interests or other equity securities in the Company that may be established in the future that is not expressly made senior or subordinated to the Series A Preferred Stock as to the payment of dividends and amounts payable on a liquidation event. The Series A Preferred Stock ranks junior to (i) all of the Company’s existing and future indebtedness and other liabilities with respect to assets available to satisfy claims against the Company and (ii) each other class or series of company interests or other equity securities in the Company established in the future that is expressly made senior to the Series A Preferred Stock as to the payment of dividends and amounts payable upon a liquidation event.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Dividends on the Series A Preferred Stock are cumulative and compounding and are payable quarterly in arrears on the 15th day of March, June, September and December of each year (each, a “Dividend Payment Date”) to holders of record as of the close of business on the first business day of the month of the applicable Dividend Payment Date, in each case, when, as, and if declared by the Board of Directors out of legally available funds for such purpose. The dividend rate for the Series A Preferred Stock is equal to the three-month SOFR plus a spread of 7.69%. The floating rate established on June 15, 2026 for the period ended September 30, 2026 was 11.4%.</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Board of Directors reinstated cash dividends on its Series A Preferred Stock beginning on March 14, 2025. During the six month periods ended June 30, 2026 and 2025, cash dividend payments totaling $51.3 million and $6.7 million were paid, respectively. The cash dividend payment during the six months ended June 30, 2026 includes a payment of $46.3 million for accrued and unpaid dividends owed from March 15, 2020 to December 14, 2024.</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Company had 65,508 shares of Series A Preferred Stock outstanding. </w:t>
      </w:r>
    </w:p>
    <w:p>
      <w:pPr>
        <w:pStyle w:val="TextBody"/>
        <w:bidi w:val="0"/>
        <w:spacing w:lineRule="auto" w:line="288" w:before="120" w:after="283"/>
        <w:jc w:val="left"/>
        <w:rPr/>
      </w:pPr>
      <w:r>
        <w:rPr>
          <w:rFonts w:ascii="Times New Roman;serif" w:hAnsi="Times New Roman;serif"/>
          <w:b/>
          <w:i/>
          <w:color w:val="000000"/>
          <w:sz w:val="20"/>
        </w:rPr>
        <w:t>Partnership Common Units.</w:t>
      </w:r>
      <w:r>
        <w:rPr>
          <w:color w:val="000000"/>
        </w:rPr>
        <w:t xml:space="preserve"> </w:t>
      </w:r>
      <w:r>
        <w:rPr>
          <w:rFonts w:ascii="Times New Roman;serif" w:hAnsi="Times New Roman;serif"/>
          <w:b w:val="false"/>
          <w:color w:val="000000"/>
          <w:sz w:val="20"/>
        </w:rPr>
        <w:t>In the Tall Oak Acquisition, SMLP issued Partnership Common Units to Tall Oak Parent. Such Partnership Common Units are exchangeable along with the associated shares of Class B Common Stock for shares of SMC common stock at the election of the holder for no additional consideration.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 update on the number of Partnership Common Units for the period from December 31, 2025 to June 30, 2026 follows: </w:t>
      </w:r>
    </w:p>
    <w:tbl>
      <w:tblPr>
        <w:tblW w:w="10205" w:type="dxa"/>
        <w:jc w:val="left"/>
        <w:tblInd w:w="0" w:type="dxa"/>
        <w:tblLayout w:type="fixed"/>
        <w:tblCellMar>
          <w:top w:w="28" w:type="dxa"/>
          <w:left w:w="28" w:type="dxa"/>
          <w:bottom w:w="28" w:type="dxa"/>
          <w:right w:w="28" w:type="dxa"/>
        </w:tblCellMar>
      </w:tblPr>
      <w:tblGrid>
        <w:gridCol w:w="1064"/>
        <w:gridCol w:w="643"/>
        <w:gridCol w:w="649"/>
        <w:gridCol w:w="953"/>
        <w:gridCol w:w="803"/>
        <w:gridCol w:w="806"/>
        <w:gridCol w:w="109"/>
        <w:gridCol w:w="109"/>
        <w:gridCol w:w="109"/>
        <w:gridCol w:w="994"/>
        <w:gridCol w:w="778"/>
        <w:gridCol w:w="780"/>
        <w:gridCol w:w="109"/>
        <w:gridCol w:w="109"/>
        <w:gridCol w:w="109"/>
        <w:gridCol w:w="788"/>
        <w:gridCol w:w="531"/>
        <w:gridCol w:w="762"/>
      </w:tblGrid>
      <w:tr>
        <w:trPr/>
        <w:tc>
          <w:tcPr>
            <w:tcW w:w="106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2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Partnership Common Units owned by Tall Oak Parent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Partnership Common Units Owned by the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Partnership Common Units</w:t>
            </w:r>
          </w:p>
        </w:tc>
      </w:tr>
      <w:tr>
        <w:trPr/>
        <w:tc>
          <w:tcPr>
            <w:tcW w:w="2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Units, December 31, 2025</w:t>
            </w:r>
          </w:p>
        </w:tc>
        <w:tc>
          <w:tcPr>
            <w:tcW w:w="1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6,524,467 </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12,262,320 </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18,786,787 </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issued for SMC LTIP, net</w:t>
            </w:r>
          </w:p>
        </w:tc>
        <w:tc>
          <w:tcPr>
            <w:tcW w:w="1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203,913 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203,913 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units issued for cash</w:t>
            </w:r>
          </w:p>
        </w:tc>
        <w:tc>
          <w:tcPr>
            <w:tcW w:w="1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1,351,351 </w:t>
            </w:r>
          </w:p>
        </w:tc>
        <w:tc>
          <w:tcPr>
            <w:tcW w:w="7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1,351,351 </w:t>
            </w:r>
          </w:p>
        </w:tc>
        <w:tc>
          <w:tcPr>
            <w:tcW w:w="7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of units under Share Repurchase Program</w:t>
            </w:r>
          </w:p>
        </w:tc>
        <w:tc>
          <w:tcPr>
            <w:tcW w:w="1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(34,624)</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(34,624)</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Units, June 30, 2026</w:t>
            </w:r>
          </w:p>
        </w:tc>
        <w:tc>
          <w:tcPr>
            <w:tcW w:w="17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6,524,467 </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13,782,960 </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20,307,427 </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Times New Roman;serif" w:hAnsi="Times New Roman;serif"/>
          <w:b/>
          <w:i/>
          <w:color w:val="000000"/>
          <w:sz w:val="20"/>
        </w:rPr>
        <w:t>Subsidiary Series A Preferred Units.</w:t>
      </w:r>
      <w:r>
        <w:rPr>
          <w:color w:val="000000"/>
        </w:rPr>
        <w:t> </w:t>
      </w:r>
      <w:r>
        <w:rPr>
          <w:rFonts w:ascii="Times New Roman;serif" w:hAnsi="Times New Roman;serif"/>
          <w:b w:val="false"/>
          <w:color w:val="000000"/>
          <w:sz w:val="20"/>
        </w:rPr>
        <w:t>Until March 2026, Summit Permian Transmission Holdco, LLC (“Permian Holdco”) had Series A Fixed Rate Cumulative Redeemable Preferred Units (“Subsidiary Series A Preferred Units”) that ranked senior to each other class or series of limited liability company interests or other equity securities in Permian Holdco that may be established in the future that expressly ranks junior to the Subsidiary Series A Preferred Units as to the payment of distributions and amounts payable upon a liquidation event. The Subsidiary Series A Preferred Units ranked equal in all respects with each class or series of limited liability company interests or other equity securities in Permian Holdco that may be established in the future that is not expressly made senior or subordinated to the Subsidiary Series A Preferred Units as to the payment of distributions and amounts payable on a liquidation event. The Subsidiary Series A Preferred Units ranked junior to (i) all of Permian Holdco’s or a subsidiary of Permian Holdco’s future indebtedness and other liabilities with respect to assets available to satisfy claims against Permian Holdco and (ii) each other class or series of limited liability company interests or other equity securities in Permian Holdco established in the future that is expressly made senior to the Subsidiary Series A Preferred Units as to the payment of distributions and amounts payable upon a liquidation event. Income is allocated to the Subsidiary Series A Preferred Units in an amount equal to the earned distributions for the respective reporting period.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March 2026, the Company redeemed in full, all outstanding Subsidiary Series A Preferred Units. The following table shows the change in the Company’s Subsidiary Series A Preferred Unit balance from December 31, 2025 to June 30, 2026, net of $0.6 million of unamortized issuance costs as of December 31, 2025:</w:t>
      </w:r>
    </w:p>
    <w:tbl>
      <w:tblPr>
        <w:tblW w:w="5855" w:type="dxa"/>
        <w:jc w:val="left"/>
        <w:tblInd w:w="0" w:type="dxa"/>
        <w:tblLayout w:type="fixed"/>
        <w:tblCellMar>
          <w:top w:w="28" w:type="dxa"/>
          <w:left w:w="28" w:type="dxa"/>
          <w:bottom w:w="28" w:type="dxa"/>
          <w:right w:w="28" w:type="dxa"/>
        </w:tblCellMar>
      </w:tblPr>
      <w:tblGrid>
        <w:gridCol w:w="1689"/>
        <w:gridCol w:w="1483"/>
        <w:gridCol w:w="1492"/>
        <w:gridCol w:w="211"/>
        <w:gridCol w:w="826"/>
        <w:gridCol w:w="154"/>
      </w:tblGrid>
      <w:tr>
        <w:trPr/>
        <w:tc>
          <w:tcPr>
            <w:tcW w:w="1689"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2025</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141,296 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accretion, net of issuance cost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distribution and redemption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June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pPr>
      <w:r>
        <w:rPr>
          <w:rFonts w:ascii="Times New Roman;serif" w:hAnsi="Times New Roman;serif"/>
          <w:b/>
          <w:i/>
          <w:color w:val="000000"/>
          <w:sz w:val="20"/>
        </w:rPr>
        <w:t>Noncontrolling interest.</w:t>
      </w:r>
      <w:r>
        <w:rPr>
          <w:color w:val="000000"/>
        </w:rPr>
        <w:t xml:space="preserve"> </w:t>
      </w:r>
      <w:r>
        <w:rPr>
          <w:rFonts w:ascii="Times New Roman;serif" w:hAnsi="Times New Roman;serif"/>
          <w:b w:val="false"/>
          <w:color w:val="000000"/>
          <w:sz w:val="20"/>
        </w:rPr>
        <w:t>Noncontrolling interest represents the portion of net assets in the Company’s consolidated subsidiaries that are not wholly owned by the Company. The Company’s noncontrolling interest is recorded at carrying value and is reported as a component of equity on the condensed consolidated balance sheet. As of June 30, 2026, the Company’s noncontrolling interest is approximately 32% of the net assets of SMLP. The noncontrolling interest will be adjusted in the future for (i) any net income or loss generated by SMLP, and (ii) any equity shifts resulting from the issuance of common stock in connection with the SMC LTIP, or certain changes to SMLP’s capital accounts.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changes in noncontrolling interest during the periods presented:</w:t>
      </w:r>
    </w:p>
    <w:tbl>
      <w:tblPr>
        <w:tblW w:w="4287" w:type="dxa"/>
        <w:jc w:val="left"/>
        <w:tblInd w:w="0" w:type="dxa"/>
        <w:tblLayout w:type="fixed"/>
        <w:tblCellMar>
          <w:top w:w="28" w:type="dxa"/>
          <w:left w:w="28" w:type="dxa"/>
          <w:bottom w:w="28" w:type="dxa"/>
          <w:right w:w="28" w:type="dxa"/>
        </w:tblCellMar>
      </w:tblPr>
      <w:tblGrid>
        <w:gridCol w:w="912"/>
        <w:gridCol w:w="801"/>
        <w:gridCol w:w="806"/>
        <w:gridCol w:w="109"/>
        <w:gridCol w:w="109"/>
        <w:gridCol w:w="109"/>
        <w:gridCol w:w="255"/>
        <w:gridCol w:w="999"/>
        <w:gridCol w:w="187"/>
      </w:tblGrid>
      <w:tr>
        <w:trP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Noncontrolling</w:t>
              <w:br/>
              <w:t>Interest</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400,376 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shift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(78,064)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320,491 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i/>
          <w:color w:val="000000"/>
          <w:sz w:val="20"/>
        </w:rPr>
        <w:t xml:space="preserve">Equity shift - Change in Ownership of Consolidated Subsidiary. </w:t>
      </w:r>
      <w:r>
        <w:rPr>
          <w:rFonts w:ascii="Times New Roman;serif" w:hAnsi="Times New Roman;serif"/>
          <w:b w:val="false"/>
          <w:color w:val="000000"/>
          <w:sz w:val="20"/>
        </w:rPr>
        <w:t>During the six months ended June 30, 2026, the Company had an equity shift and its noncontrolling interest was reduced by $78.1 million. During the six months ended June 30, 2026, the Company increased its ownership of SMLP as a result of certain Partnership Common Unit issuances resulting from SMC LTIP vesting events and the Company’s related party share issuance, partially offset by the repurchase and redemption of SMC shares under the Share Repurchase Program. The result of these equity transactions was an increase of the Company’s ownership percentage of SMLP and a corresponding decrease of the ownership percentage of SMLP held by the noncontrolling interest owner.</w:t>
      </w:r>
    </w:p>
    <w:p>
      <w:pPr>
        <w:pStyle w:val="TextBody"/>
        <w:bidi w:val="0"/>
        <w:spacing w:lineRule="auto" w:line="288" w:before="120" w:after="283"/>
        <w:jc w:val="left"/>
        <w:rPr/>
      </w:pPr>
      <w:r>
        <w:rPr>
          <w:rFonts w:ascii="Times New Roman;serif" w:hAnsi="Times New Roman;serif"/>
          <w:b/>
          <w:i/>
          <w:color w:val="000000"/>
          <w:sz w:val="20"/>
        </w:rPr>
        <w:t>Dividend Policy.</w:t>
      </w:r>
      <w:r>
        <w:rPr>
          <w:color w:val="000000"/>
        </w:rPr>
        <w:t> </w:t>
      </w:r>
      <w:r>
        <w:rPr>
          <w:rFonts w:ascii="Times New Roman;serif" w:hAnsi="Times New Roman;serif"/>
          <w:b w:val="false"/>
          <w:color w:val="000000"/>
          <w:sz w:val="20"/>
        </w:rPr>
        <w:t>In March 2020, SMLP suspended cash distributions to holders of its common units and Series A Preferred Units, commencing with respect to the quarter ended March 31, 2020. Upon the consummation of the Corporate Reorganization, all accumulated and unpaid distributions on the Series A Preferred Units were deemed by the Series A Certificate of Designation to be Series A Unpaid Cash Dividends (as defined in the Series A Certificate of Designation) per share of Series A Preferred Stock, and any rights to accumulated and unpaid distributions on such Series A Preferred Units were discharged. Because the Series A Preferred Stock ranks senior to the Company’s common stock with respect to dividend rights, any accrued dividends on the Series A Preferred Stock must first be paid prior to the initiation of dividends to holders of the Company’s common stock. As mentioned above, during the quarter ended March 31, 2025, the Company resumed distributions on its Series A Preferred Stock. Further, in March 2026, the Company repaid accrued and unpaid dividends on its Series A Preferred Stock, including the $46.3 million for accrued and unpaid dividends owed from March 15, 2020 to December 14, 2024.</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Absent a material change to the Company’s business, the Company does not expect to pay dividends to holders of the Company’s common stock in the foreseeable future. Any future dividend payments will depend on the Company’s financial condition, market conditions and other matters deemed relevant by the Board of Directors. Additionally, the Company’s ability to pay dividends is subject to restrictions on dividends under the Amended and Restated ABL Facility, Series A Preferred Stock and the indenture governing the 2029 Senior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12. EARNINGS PER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components of EPS.</w:t>
      </w:r>
    </w:p>
    <w:tbl>
      <w:tblPr>
        <w:tblW w:w="10205" w:type="dxa"/>
        <w:jc w:val="left"/>
        <w:tblInd w:w="0" w:type="dxa"/>
        <w:tblLayout w:type="fixed"/>
        <w:tblCellMar>
          <w:top w:w="28" w:type="dxa"/>
          <w:left w:w="28" w:type="dxa"/>
          <w:bottom w:w="28" w:type="dxa"/>
          <w:right w:w="28" w:type="dxa"/>
        </w:tblCellMar>
      </w:tblPr>
      <w:tblGrid>
        <w:gridCol w:w="1962"/>
        <w:gridCol w:w="1651"/>
        <w:gridCol w:w="1656"/>
        <w:gridCol w:w="218"/>
        <w:gridCol w:w="622"/>
        <w:gridCol w:w="121"/>
        <w:gridCol w:w="121"/>
        <w:gridCol w:w="121"/>
        <w:gridCol w:w="121"/>
        <w:gridCol w:w="218"/>
        <w:gridCol w:w="693"/>
        <w:gridCol w:w="121"/>
        <w:gridCol w:w="109"/>
        <w:gridCol w:w="109"/>
        <w:gridCol w:w="109"/>
        <w:gridCol w:w="198"/>
        <w:gridCol w:w="626"/>
        <w:gridCol w:w="109"/>
        <w:gridCol w:w="109"/>
        <w:gridCol w:w="109"/>
        <w:gridCol w:w="109"/>
        <w:gridCol w:w="198"/>
        <w:gridCol w:w="626"/>
        <w:gridCol w:w="169"/>
      </w:tblGrid>
      <w:tr>
        <w:trPr/>
        <w:tc>
          <w:tcPr>
            <w:tcW w:w="1962"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 except</w:t>
              <w:br/>
              <w:t>per-share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 except</w:t>
              <w:br/>
              <w:t>per-share amounts)</w:t>
            </w:r>
          </w:p>
        </w:tc>
      </w:tr>
      <w:tr>
        <w:trPr/>
        <w:tc>
          <w:tcPr>
            <w:tcW w:w="5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Numerator for basic and diluted EPS:</w:t>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4,565 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(4,228)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Subsidiary Series A Preferred Units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(7,271)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Series A Preferred Stock</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(7,019)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 Net (income) loss attributable to noncontrolling interest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2,980 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3,969 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Summit Midstream Corporation</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(8,028)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(9,915)</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Denominator for basic and diluted EPS:</w:t>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shares outstanding – basic</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12,241 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12,005 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nonvested restricted stock units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assumed conversion and elimination of noncontrolling interest and net income</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shares outstanding – diluted</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14,045 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12,241 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12,005 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 per share:</w:t>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 basic</w:t>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 diluted</w:t>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B Common Stock - basic and diluted</w:t>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Nonvested anti-dilutive restricted shares excluded from the calculation of diluted EPS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Class B Common Stock</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6,524 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6,524 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13. SUPPLEMENTAL CASH FLOW INFORMATION</w:t>
      </w:r>
    </w:p>
    <w:tbl>
      <w:tblPr>
        <w:tblW w:w="9189" w:type="dxa"/>
        <w:jc w:val="left"/>
        <w:tblInd w:w="0" w:type="dxa"/>
        <w:tblLayout w:type="fixed"/>
        <w:tblCellMar>
          <w:top w:w="28" w:type="dxa"/>
          <w:left w:w="28" w:type="dxa"/>
          <w:bottom w:w="28" w:type="dxa"/>
          <w:right w:w="28" w:type="dxa"/>
        </w:tblCellMar>
      </w:tblPr>
      <w:tblGrid>
        <w:gridCol w:w="2440"/>
        <w:gridCol w:w="2142"/>
        <w:gridCol w:w="2153"/>
        <w:gridCol w:w="211"/>
        <w:gridCol w:w="721"/>
        <w:gridCol w:w="109"/>
        <w:gridCol w:w="109"/>
        <w:gridCol w:w="109"/>
        <w:gridCol w:w="109"/>
        <w:gridCol w:w="211"/>
        <w:gridCol w:w="721"/>
        <w:gridCol w:w="154"/>
      </w:tblGrid>
      <w:tr>
        <w:trPr/>
        <w:tc>
          <w:tcPr>
            <w:tcW w:w="2440"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6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interest paid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taxes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in trade accounts payable (period-end accruals)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Subsidiary Series A Preferred Units, net of issuance cost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consideration for Moonrise Acquisition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14. EQUITY COMPENSATION</w:t>
      </w:r>
    </w:p>
    <w:p>
      <w:pPr>
        <w:pStyle w:val="TextBody"/>
        <w:bidi w:val="0"/>
        <w:spacing w:lineRule="auto" w:line="288" w:before="120" w:after="283"/>
        <w:jc w:val="left"/>
        <w:rPr/>
      </w:pPr>
      <w:r>
        <w:rPr>
          <w:rFonts w:ascii="Times New Roman;serif" w:hAnsi="Times New Roman;serif"/>
          <w:b/>
          <w:i/>
          <w:color w:val="000000"/>
          <w:sz w:val="20"/>
        </w:rPr>
        <w:t xml:space="preserve">SMC Long-Term Incentive Plan. </w:t>
      </w:r>
      <w:r>
        <w:rPr>
          <w:rFonts w:ascii="Times New Roman;serif" w:hAnsi="Times New Roman;serif"/>
          <w:b w:val="false"/>
          <w:color w:val="000000"/>
          <w:sz w:val="20"/>
        </w:rPr>
        <w:t>In connection with the consummation of the Corporate Reorganization, the Company assumed SMLP’s 2022 Long-Term Incentive Plan, as amended by the First Amendment, effective as of March 16, 2022 (the “SMLP LTIP”), and all the obligations of SMLP thereunder. The SMLP LTIP units were exchanged on a one-for-one basis with equivalent terms. In connection with the assumption of the SMLP LTIP and the Corporate Reorganization, the Board of Directors approved the amendment and restatement of the SMLP LTIP, with such amendment and restatement effective as of August 1, 2024 (such amended and restated plan, the Summit Midstream Corporation 2024 Long-Term Incentive Plan (the “SMC LTIP”)). The SMC LTIP authorizes the Compensation Committee, in its discretion, to grant awards of restricted stock, restricted stock units, stock options, stock appreciation rights and other awards related to the Company’s common stock upon such terms and conditions as it may determine appropriate and in accordance with the terms of the SMC LTIP.</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Significant items to note: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For the six-month period ended June 30, 2026, the Company granted 177,854 shares of time-based restricted stock and associated dividend equivalent rights to employees in connection with the Company’s annual incentive compensation award cycle. The grant date fair value of these awards totaled $5.4 million and the awards generally vest ratably over a three-year period.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For the six-month period ended June 30, 2026, the Company granted 120,283 shares of performance-based restricted stock and associated dividend equivalent rights to certain members of management in connection with the Company’s annual incentive compensation award cycle. The grant date fair value of these awards totaled $4.6 million and the awards vest at the end of three years.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For the six-month period ended June 30, 2026, the Company issued 22,398 shares of common stock to six independent directors in connection with their annual compensation plan. The grant date fair value of these awards totaled $0.7 million and became fully vested at the grant date.</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On May 7, 2026, the Company’s stockholders approved Amendment No. 1 to the SMC LTIP, which increased the number of shares of common stock that may be delivered with respect to awards granted under the SMC LTIP by 424,000 shares of common stock.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approximately 0.7 million shares of common stock remained available for future issuance under the SMC LTIP, which includes the impact of 0.7 million granted but unvested restricted stock and performance-based awards, assuming the performance-based awards are settled with a 100% target payout.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15. INCOME TAXES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Summit Midstream Corporation’s effective income tax rate for the six months ended June 30, 2026 and 2025 was 4.51% and 912.00%, respectively. Summit Midstream Corporation’s effective income tax rate for the six months ended June 30, 2026 and 2025 was different from the U.S. federal statutory income tax rate of 21% primarily due to the net income allocated to the noncontrolling interest, tax benefits related to stock-based compensation, and nondeductible executive compensation.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assessing the realizability of deferred tax assets, management considers whether it is more likely than not that some portion or all of the deferred tax assets will not be realized, and when necessary, valuation allowances are provided. The ultimate realization of deferred tax assets is dependent upon the generation of future taxable income during the periods in which those temporary differences become deductible. SMC assesses the realizability of its deferred tax assets quarterly and considers carryback availability, the scheduled reversal of deferred tax liabilities, projected future taxable income and tax planning strategies in making this assessment. No valuation allowance has been recognized as of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16. SEGMENT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operating segments, which are equivalent to our reportable segments, have been identified based on their geographic location and reflect how the Company’s Chief Operating Decision Maker (“CODM”) assesses performance and allocates resources. The Company’s CODM, which is its Chief Executive Officer, primarily utilizes segment adjusted EBITDA as the key indicator in assessing the segment’s performance and allocating resources. Segment adjusted EBITDA is primarily used in the budgeting and forecasting process and the CODM regularly considers budget-to-actual variances when evaluating the performance of each segment and making decisions on the allocation of operating and capital resources to each individual segment. </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0"/>
        </w:rPr>
        <w:t xml:space="preserve">Rockies </w:t>
      </w:r>
      <w:r>
        <w:rPr>
          <w:color w:val="000000"/>
        </w:rPr>
        <w:t xml:space="preserve">– </w:t>
      </w:r>
      <w:r>
        <w:rPr>
          <w:rFonts w:ascii="Times New Roman;serif" w:hAnsi="Times New Roman;serif"/>
          <w:b w:val="false"/>
          <w:color w:val="000000"/>
          <w:sz w:val="20"/>
        </w:rPr>
        <w:t xml:space="preserve">Includes the Company’s midstream assets located in the Williston Basin and the DJ Basin. </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0"/>
        </w:rPr>
        <w:t xml:space="preserve">Permian </w:t>
      </w:r>
      <w:r>
        <w:rPr>
          <w:color w:val="000000"/>
        </w:rPr>
        <w:t xml:space="preserve">– </w:t>
      </w:r>
      <w:r>
        <w:rPr>
          <w:rFonts w:ascii="Times New Roman;serif" w:hAnsi="Times New Roman;serif"/>
          <w:b w:val="false"/>
          <w:color w:val="000000"/>
          <w:sz w:val="20"/>
        </w:rPr>
        <w:t>Includes the Company’s equity method investment in Double E.</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0"/>
        </w:rPr>
        <w:t xml:space="preserve">Mid-Con </w:t>
      </w:r>
      <w:r>
        <w:rPr>
          <w:color w:val="000000"/>
        </w:rPr>
        <w:t xml:space="preserve">– </w:t>
      </w:r>
      <w:r>
        <w:rPr>
          <w:rFonts w:ascii="Times New Roman;serif" w:hAnsi="Times New Roman;serif"/>
          <w:b w:val="false"/>
          <w:color w:val="000000"/>
          <w:sz w:val="20"/>
        </w:rPr>
        <w:t xml:space="preserve">Includes the Company’s midstream assets located in the Barnett Shale and the Arkoma Basin.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0"/>
        </w:rPr>
        <w:t xml:space="preserve">Piceance </w:t>
      </w:r>
      <w:r>
        <w:rPr>
          <w:color w:val="000000"/>
        </w:rPr>
        <w:t xml:space="preserve">– </w:t>
      </w:r>
      <w:r>
        <w:rPr>
          <w:rFonts w:ascii="Times New Roman;serif" w:hAnsi="Times New Roman;serif"/>
          <w:b w:val="false"/>
          <w:color w:val="000000"/>
          <w:sz w:val="20"/>
        </w:rPr>
        <w:t>Includes the Company’s midstream assets located in the Piceance Basin.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information about the Company’s reportable segments (in thousands):</w:t>
      </w:r>
    </w:p>
    <w:tbl>
      <w:tblPr>
        <w:tblW w:w="10205" w:type="dxa"/>
        <w:jc w:val="left"/>
        <w:tblInd w:w="0" w:type="dxa"/>
        <w:tblLayout w:type="fixed"/>
        <w:tblCellMar>
          <w:top w:w="28" w:type="dxa"/>
          <w:left w:w="28" w:type="dxa"/>
          <w:bottom w:w="28" w:type="dxa"/>
          <w:right w:w="28" w:type="dxa"/>
        </w:tblCellMar>
      </w:tblPr>
      <w:tblGrid>
        <w:gridCol w:w="1911"/>
        <w:gridCol w:w="1597"/>
        <w:gridCol w:w="1617"/>
        <w:gridCol w:w="181"/>
        <w:gridCol w:w="616"/>
        <w:gridCol w:w="109"/>
        <w:gridCol w:w="109"/>
        <w:gridCol w:w="109"/>
        <w:gridCol w:w="109"/>
        <w:gridCol w:w="181"/>
        <w:gridCol w:w="541"/>
        <w:gridCol w:w="109"/>
        <w:gridCol w:w="109"/>
        <w:gridCol w:w="109"/>
        <w:gridCol w:w="109"/>
        <w:gridCol w:w="181"/>
        <w:gridCol w:w="541"/>
        <w:gridCol w:w="109"/>
        <w:gridCol w:w="109"/>
        <w:gridCol w:w="109"/>
        <w:gridCol w:w="109"/>
        <w:gridCol w:w="181"/>
        <w:gridCol w:w="541"/>
        <w:gridCol w:w="109"/>
        <w:gridCol w:w="109"/>
        <w:gridCol w:w="109"/>
        <w:gridCol w:w="109"/>
        <w:gridCol w:w="109"/>
        <w:gridCol w:w="109"/>
        <w:gridCol w:w="155"/>
      </w:tblGrid>
      <w:tr>
        <w:trPr/>
        <w:tc>
          <w:tcPr>
            <w:tcW w:w="1911"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Rockies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Permian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Mid-Con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Piceance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Three Months Ended June 30, 2026</w:t>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 xml:space="preserve">Revenues: </w:t>
            </w:r>
            <w:r>
              <w:rPr>
                <w:rFonts w:ascii="Times New Roman;serif" w:hAnsi="Times New Roman;serif"/>
                <w:b/>
                <w:color w:val="000000"/>
                <w:sz w:val="9"/>
              </w:rPr>
              <w:t>(1)</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Gathering services and related fees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Natural gas, NGLs and condensate sales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Other revenues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Total revenues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Less: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Cost of natural gas and NGLs (excludes deductions for gathering, processing and other fees)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Cost of natural gas and NGLs (amounts withheld from customers for the Company’s gathering, processing and other fees)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Employee costs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Materials, parts and other operating expenses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Indirect and passthrough </w:t>
            </w:r>
            <w:r>
              <w:rPr>
                <w:rFonts w:ascii="Times New Roman;serif" w:hAnsi="Times New Roman;serif"/>
                <w:b w:val="false"/>
                <w:color w:val="000000"/>
                <w:sz w:val="9"/>
              </w:rPr>
              <w:t>(3)</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Other segment items </w:t>
            </w:r>
            <w:r>
              <w:rPr>
                <w:rFonts w:ascii="Times New Roman;serif" w:hAnsi="Times New Roman;serif"/>
                <w:b w:val="false"/>
                <w:color w:val="000000"/>
                <w:sz w:val="9"/>
              </w:rPr>
              <w:t>(2)</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Segment Adjusted EBITDA</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Rockies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Permian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Mid-Con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Piceance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Six Months Ended June 30, 2026</w:t>
            </w:r>
          </w:p>
        </w:tc>
        <w:tc>
          <w:tcPr>
            <w:tcW w:w="4380"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6"/>
            <w:tcBorders/>
          </w:tcPr>
          <w:p>
            <w:pPr>
              <w:pStyle w:val="TableContents"/>
              <w:bidi w:val="0"/>
              <w:spacing w:before="0" w:after="283"/>
              <w:jc w:val="left"/>
              <w:rPr>
                <w:sz w:val="4"/>
                <w:szCs w:val="4"/>
              </w:rPr>
            </w:pPr>
            <w:r>
              <w:rPr>
                <w:sz w:val="4"/>
                <w:szCs w:val="4"/>
              </w:rPr>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 xml:space="preserve">Revenues: </w:t>
            </w:r>
            <w:r>
              <w:rPr>
                <w:rFonts w:ascii="Times New Roman;serif" w:hAnsi="Times New Roman;serif"/>
                <w:b/>
                <w:color w:val="000000"/>
                <w:sz w:val="9"/>
              </w:rPr>
              <w:t>(1)</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Gathering services and related fees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Natural gas, NGLs and condensate sales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149,497 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Other revenues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Total revenues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185,990 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Less: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Cost of natural gas and NGLs (excludes deductions for gathering, processing, and other fees)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Cost of natural gas and NGLs (amounts withheld from customers for the Company’s gathering, processing and other fees)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Employee costs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Materials, parts, and other operating expenses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Indirect and passthrough </w:t>
            </w:r>
            <w:r>
              <w:rPr>
                <w:rFonts w:ascii="Times New Roman;serif" w:hAnsi="Times New Roman;serif"/>
                <w:b w:val="false"/>
                <w:color w:val="000000"/>
                <w:sz w:val="9"/>
              </w:rPr>
              <w:t>(3)</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Other segment items </w:t>
            </w:r>
            <w:r>
              <w:rPr>
                <w:rFonts w:ascii="Times New Roman;serif" w:hAnsi="Times New Roman;serif"/>
                <w:b w:val="false"/>
                <w:color w:val="000000"/>
                <w:sz w:val="9"/>
              </w:rPr>
              <w:t>(2)</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Segment Adjusted EBITDA</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911"/>
        <w:gridCol w:w="1597"/>
        <w:gridCol w:w="1617"/>
        <w:gridCol w:w="181"/>
        <w:gridCol w:w="616"/>
        <w:gridCol w:w="109"/>
        <w:gridCol w:w="109"/>
        <w:gridCol w:w="109"/>
        <w:gridCol w:w="109"/>
        <w:gridCol w:w="181"/>
        <w:gridCol w:w="541"/>
        <w:gridCol w:w="109"/>
        <w:gridCol w:w="109"/>
        <w:gridCol w:w="109"/>
        <w:gridCol w:w="109"/>
        <w:gridCol w:w="181"/>
        <w:gridCol w:w="541"/>
        <w:gridCol w:w="109"/>
        <w:gridCol w:w="109"/>
        <w:gridCol w:w="109"/>
        <w:gridCol w:w="109"/>
        <w:gridCol w:w="181"/>
        <w:gridCol w:w="541"/>
        <w:gridCol w:w="109"/>
        <w:gridCol w:w="109"/>
        <w:gridCol w:w="109"/>
        <w:gridCol w:w="109"/>
        <w:gridCol w:w="109"/>
        <w:gridCol w:w="109"/>
        <w:gridCol w:w="155"/>
      </w:tblGrid>
      <w:tr>
        <w:trPr/>
        <w:tc>
          <w:tcPr>
            <w:tcW w:w="1911"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Rockies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Permian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Mid-Con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Piceance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Three Months Ended June 30, 2025</w:t>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 xml:space="preserve">Revenues: </w:t>
            </w:r>
            <w:r>
              <w:rPr>
                <w:rFonts w:ascii="Times New Roman;serif" w:hAnsi="Times New Roman;serif"/>
                <w:b/>
                <w:color w:val="000000"/>
                <w:sz w:val="9"/>
              </w:rPr>
              <w:t>(1)</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Gathering services and related fees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Natural gas, NGLs and condensate sales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revenues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Total revenues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Less: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Cost of natural gas and NGLs (excludes deductions for gathering, processing and other fees)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Cost of natural gas and NGLs (amounts withheld from customers for the Company’s gathering, processing and other fees)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Employee costs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Materials, parts and other operating expenses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Indirect and passthrough </w:t>
            </w:r>
            <w:r>
              <w:rPr>
                <w:rFonts w:ascii="Times New Roman;serif" w:hAnsi="Times New Roman;serif"/>
                <w:b w:val="false"/>
                <w:color w:val="000000"/>
                <w:sz w:val="9"/>
              </w:rPr>
              <w:t>(3)</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Other segment items </w:t>
            </w:r>
            <w:r>
              <w:rPr>
                <w:rFonts w:ascii="Times New Roman;serif" w:hAnsi="Times New Roman;serif"/>
                <w:b w:val="false"/>
                <w:color w:val="000000"/>
                <w:sz w:val="9"/>
              </w:rPr>
              <w:t>(2)</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Segment Adjusted EBITDA</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Rockies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Permian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Mid-Con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Piceance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Six Months Ended June 30, 2025</w:t>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 xml:space="preserve">Revenues: </w:t>
            </w:r>
            <w:r>
              <w:rPr>
                <w:rFonts w:ascii="Times New Roman;serif" w:hAnsi="Times New Roman;serif"/>
                <w:b/>
                <w:color w:val="000000"/>
                <w:sz w:val="9"/>
              </w:rPr>
              <w:t>(1)</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Gathering services and related fees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Natural gas, NGLs and condensate sales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revenues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Total revenues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Less: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Cost of natural gas and NGLs (excludes deductions for gathering, processing, and other fees)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Cost of natural gas and NGLs (amounts withheld from customers for the Company’s gathering, processing and other fees)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Employee costs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Materials, parts, and other operating expenses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Indirect and passthrough </w:t>
            </w:r>
            <w:r>
              <w:rPr>
                <w:rFonts w:ascii="Times New Roman;serif" w:hAnsi="Times New Roman;serif"/>
                <w:b w:val="false"/>
                <w:color w:val="000000"/>
                <w:sz w:val="9"/>
              </w:rPr>
              <w:t>(3)</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Other segment items </w:t>
            </w:r>
            <w:r>
              <w:rPr>
                <w:rFonts w:ascii="Times New Roman;serif" w:hAnsi="Times New Roman;serif"/>
                <w:b w:val="false"/>
                <w:color w:val="000000"/>
                <w:sz w:val="9"/>
              </w:rPr>
              <w:t>(2)</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Segment Adjusted EBITDA</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9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The Company’s revenues are attributable solely to external customers located within the U.S.</w:t>
      </w:r>
    </w:p>
    <w:p>
      <w:pPr>
        <w:pStyle w:val="TextBody"/>
        <w:bidi w:val="0"/>
        <w:spacing w:lineRule="auto" w:line="288" w:before="120" w:after="283"/>
        <w:ind w:left="0" w:right="0" w:hanging="9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 xml:space="preserve">For the three and six months ended June 30, 2026 and 2025, other segment items consist primarily of the following: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Rockies - includes general and administrative expenses, operations and maintenance expenses and adjustments related to capital reimbursement activity;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Permian - includes general and administrative expenses and the Company’s proportional adjusted EBITDA from its equity method investment in Double 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Piceance - includes general and administrative expenses, operations and maintenance expenses and adjustments related to capital reimbursement activity;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Mid-Con - includes general and administrative expenses, operations and maintenance expenses, adjustments related to capital reimbursement activity, the amortization expense associated with the Company’s favorable and unfavorable gas gathering contracts.</w:t>
      </w:r>
    </w:p>
    <w:p>
      <w:pPr>
        <w:pStyle w:val="TextBody"/>
        <w:bidi w:val="0"/>
        <w:spacing w:lineRule="auto" w:line="288" w:before="120" w:after="283"/>
        <w:ind w:left="0" w:right="0" w:hanging="18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Indirect and passthrough consist primarily of electricity expense incurred by the Company of which a portion is passed through to its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Assets by reportable segment follow:</w:t>
      </w:r>
    </w:p>
    <w:tbl>
      <w:tblPr>
        <w:tblW w:w="5823" w:type="dxa"/>
        <w:jc w:val="left"/>
        <w:tblInd w:w="0" w:type="dxa"/>
        <w:tblLayout w:type="fixed"/>
        <w:tblCellMar>
          <w:top w:w="28" w:type="dxa"/>
          <w:left w:w="28" w:type="dxa"/>
          <w:bottom w:w="28" w:type="dxa"/>
          <w:right w:w="28" w:type="dxa"/>
        </w:tblCellMar>
      </w:tblPr>
      <w:tblGrid>
        <w:gridCol w:w="983"/>
        <w:gridCol w:w="868"/>
        <w:gridCol w:w="804"/>
        <w:gridCol w:w="211"/>
        <w:gridCol w:w="976"/>
        <w:gridCol w:w="109"/>
        <w:gridCol w:w="109"/>
        <w:gridCol w:w="109"/>
        <w:gridCol w:w="109"/>
        <w:gridCol w:w="243"/>
        <w:gridCol w:w="1125"/>
        <w:gridCol w:w="177"/>
      </w:tblGrid>
      <w:tr>
        <w:trPr/>
        <w:tc>
          <w:tcPr>
            <w:tcW w:w="98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color w:val="000000"/>
                <w:sz w:val="20"/>
              </w:rPr>
              <w:t xml:space="preserve">Assets </w:t>
            </w:r>
            <w:r>
              <w:rPr>
                <w:rFonts w:ascii="Times New Roman;serif" w:hAnsi="Times New Roman;serif"/>
                <w:b/>
                <w:color w:val="000000"/>
                <w:sz w:val="13"/>
              </w:rPr>
              <w:t>(1)</w:t>
            </w:r>
            <w:r>
              <w:rPr>
                <w:rFonts w:ascii="Times New Roman;serif" w:hAnsi="Times New Roman;serif"/>
                <w:b/>
                <w:color w:val="000000"/>
                <w:sz w:val="20"/>
              </w:rPr>
              <w:t>:</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983,074 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Permian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283,090 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Mid-Con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753,517 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Piceance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341,957 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reportable segment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2,361,638 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2,407,380 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2,387,609 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Company’s long-lived assets are located within the U.S.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including the amortization expense associated with the Company’s favorable and unfavorable gas gathering contracts as reported in other revenues, by reportable segment follow:</w:t>
      </w:r>
    </w:p>
    <w:tbl>
      <w:tblPr>
        <w:tblW w:w="9824" w:type="dxa"/>
        <w:jc w:val="left"/>
        <w:tblInd w:w="0" w:type="dxa"/>
        <w:tblLayout w:type="fixed"/>
        <w:tblCellMar>
          <w:top w:w="28" w:type="dxa"/>
          <w:left w:w="28" w:type="dxa"/>
          <w:bottom w:w="28" w:type="dxa"/>
          <w:right w:w="28" w:type="dxa"/>
        </w:tblCellMar>
      </w:tblPr>
      <w:tblGrid>
        <w:gridCol w:w="1679"/>
        <w:gridCol w:w="1475"/>
        <w:gridCol w:w="148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679"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Rockies</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val="false"/>
                <w:color w:val="000000"/>
                <w:sz w:val="20"/>
              </w:rPr>
              <w:t xml:space="preserve">Mid-Con </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Piceance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reportable segment depreciation and amortization</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the amortization expense associated with the Company’s favorable and unfavorable gas gathering contracts as reported in Other revenues.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paid for capital expenditures by reportable segment follow:</w:t>
      </w:r>
    </w:p>
    <w:tbl>
      <w:tblPr>
        <w:tblW w:w="9356" w:type="dxa"/>
        <w:jc w:val="left"/>
        <w:tblInd w:w="0" w:type="dxa"/>
        <w:tblLayout w:type="fixed"/>
        <w:tblCellMar>
          <w:top w:w="28" w:type="dxa"/>
          <w:left w:w="28" w:type="dxa"/>
          <w:bottom w:w="28" w:type="dxa"/>
          <w:right w:w="28" w:type="dxa"/>
        </w:tblCellMar>
      </w:tblPr>
      <w:tblGrid>
        <w:gridCol w:w="1391"/>
        <w:gridCol w:w="1221"/>
        <w:gridCol w:w="122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paid for capital expenditures: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Mid-Con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Piceance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reportable segment capital expenditures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cash paid for capital expenditures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purpose of evaluating segment performance, the Company excludes the effect of Corporate and Other revenues and expenses, such as certain general and administrative expenses (including compensation-related expenses and professional services fees), certain natural gas and crude oil marketing services, transaction costs, interest expense, and income tax expense or benefit from segment adjusted EBITDA.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reconciliation of total of reportable segments’ measure of profit to income or loss before income taxes and income from equity method investees follow:</w:t>
      </w:r>
    </w:p>
    <w:tbl>
      <w:tblPr>
        <w:tblW w:w="10205" w:type="dxa"/>
        <w:jc w:val="left"/>
        <w:tblInd w:w="0" w:type="dxa"/>
        <w:tblLayout w:type="fixed"/>
        <w:tblCellMar>
          <w:top w:w="28" w:type="dxa"/>
          <w:left w:w="28" w:type="dxa"/>
          <w:bottom w:w="28" w:type="dxa"/>
          <w:right w:w="28" w:type="dxa"/>
        </w:tblCellMar>
      </w:tblPr>
      <w:tblGrid>
        <w:gridCol w:w="1739"/>
        <w:gridCol w:w="1529"/>
        <w:gridCol w:w="1536"/>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5"/>
      </w:tblGrid>
      <w:tr>
        <w:trPr/>
        <w:tc>
          <w:tcPr>
            <w:tcW w:w="173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8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Reconciliation of segment adjusted EBITDA to income (loss) before income taxes: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adjusted EBITDA</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136,291 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Less: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Corporate and Other expense </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16,971 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(9,642)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Depreciation and amortization </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Proportional adjusted EBITDA for equity method investees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Adjustments related to capital reimbursement activity </w:t>
            </w:r>
            <w:r>
              <w:rPr>
                <w:rFonts w:ascii="Times New Roman;serif" w:hAnsi="Times New Roman;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asset sales,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 impairment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pPr>
      <w:r>
        <w:rPr>
          <w:rFonts w:ascii="Times New Roman;serif" w:hAnsi="Times New Roman;serif"/>
          <w:b w:val="false"/>
          <w:color w:val="000000"/>
          <w:sz w:val="13"/>
        </w:rPr>
        <w:t>(1)Corporate includes results that are not specifically attributable to a reportable segment or that have not been allocated to the Company’s reportable segments, including certain general and administrative expense items, transaction costs, acquisition integration costs, and interest expense. For the three and six months ended</w:t>
      </w:r>
      <w:r>
        <w:rPr>
          <w:color w:val="000000"/>
        </w:rPr>
        <w:t xml:space="preserve"> </w:t>
      </w:r>
      <w:r>
        <w:rPr>
          <w:rFonts w:ascii="Times New Roman;serif" w:hAnsi="Times New Roman;serif"/>
          <w:b w:val="false"/>
          <w:color w:val="000000"/>
          <w:sz w:val="13"/>
        </w:rPr>
        <w:t>June 30, 2026, other expense consisted primarily of a gain on the fair value of interest rate swaps offset by a loss on the fair value remeasurement of the Tall Oak earn-out. For the three and six months ended</w:t>
      </w:r>
      <w:r>
        <w:rPr>
          <w:color w:val="000000"/>
        </w:rPr>
        <w:t xml:space="preserve"> </w:t>
      </w:r>
      <w:r>
        <w:rPr>
          <w:rFonts w:ascii="Times New Roman;serif" w:hAnsi="Times New Roman;serif"/>
          <w:b w:val="false"/>
          <w:color w:val="000000"/>
          <w:sz w:val="13"/>
        </w:rPr>
        <w:t xml:space="preserve">June 30, 2025, other expense consisted primarily of a gain on the fair value remeasurement of the Tall Oak earn-out. </w:t>
      </w:r>
    </w:p>
    <w:p>
      <w:pPr>
        <w:pStyle w:val="TextBody"/>
        <w:bidi w:val="0"/>
        <w:spacing w:lineRule="auto" w:line="288" w:before="0" w:after="0"/>
        <w:ind w:left="0" w:right="0" w:hanging="270"/>
        <w:jc w:val="left"/>
        <w:rPr>
          <w:rFonts w:ascii="Times New Roman;serif" w:hAnsi="Times New Roman;serif"/>
          <w:b w:val="false"/>
          <w:color w:val="000000"/>
          <w:sz w:val="13"/>
        </w:rPr>
      </w:pPr>
      <w:r>
        <w:rPr>
          <w:rFonts w:ascii="Times New Roman;serif" w:hAnsi="Times New Roman;serif"/>
          <w:b w:val="false"/>
          <w:color w:val="000000"/>
          <w:sz w:val="13"/>
        </w:rPr>
        <w:t>(2)Includes the amortization expense associated with the Company’s favorable gas gathering contracts as reported in other revenues.</w:t>
      </w:r>
    </w:p>
    <w:p>
      <w:pPr>
        <w:pStyle w:val="TextBody"/>
        <w:bidi w:val="0"/>
        <w:spacing w:lineRule="auto" w:line="288" w:before="0" w:after="0"/>
        <w:ind w:left="0" w:right="0" w:hanging="270"/>
        <w:jc w:val="left"/>
        <w:rPr>
          <w:rFonts w:ascii="Times New Roman;serif" w:hAnsi="Times New Roman;serif"/>
          <w:b w:val="false"/>
          <w:color w:val="000000"/>
          <w:sz w:val="13"/>
        </w:rPr>
      </w:pPr>
      <w:r>
        <w:rPr>
          <w:rFonts w:ascii="Times New Roman;serif" w:hAnsi="Times New Roman;serif"/>
          <w:b w:val="false"/>
          <w:color w:val="000000"/>
          <w:sz w:val="13"/>
        </w:rPr>
        <w:t>(3)Contributions in aid of construction are recognized over the remaining term of the respective contract. The Company includes adjustments related to capital reimbursement activity in its calculation of segment adjusted EBITDA to account for revenue recognized from contributions in aid of construction.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Item 2. Management’s Discussion and Analysis of Financial Condition and 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This Management’s Discussion and Analysis of Financial Condition and Results of Operations (“MD&amp;A”) is intended to inform the reader about matters affecting the financial condition and results of operations of the Company and its subsidiaries for the periods since December 31, 2025. As a result, the following discussion should be read in conjunction with the Company’s unaudited condensed consolidated financial statements and notes thereto included in this report and the MD&amp;A and the audited consolidated financial statements and related notes that are included in the Company’s 2025 Annual Report. Among other things, those financial statements and the related notes include more detailed information regarding the basis of presentation for the following information. This discussion contains forward-looking statements that constitute our plans, estimates and beliefs. These forward-looking statements involve numerous risks and uncertainties, including, but not limited to, those discussed in the section “Forward-Looking Statements.” Actual results may differ materially from those contained in any forward-looking statements.</w:t>
      </w:r>
    </w:p>
    <w:p>
      <w:pPr>
        <w:pStyle w:val="TextBody"/>
        <w:bidi w:val="0"/>
        <w:spacing w:lineRule="auto" w:line="268" w:before="120" w:after="283"/>
        <w:jc w:val="left"/>
        <w:rPr>
          <w:rFonts w:ascii="Times New Roman;serif" w:hAnsi="Times New Roman;serif"/>
          <w:b/>
          <w:color w:val="000000"/>
          <w:sz w:val="24"/>
        </w:rPr>
      </w:pPr>
      <w:r>
        <w:rPr>
          <w:rFonts w:ascii="Times New Roman;serif" w:hAnsi="Times New Roman;serif"/>
          <w:b/>
          <w:color w:val="000000"/>
          <w:sz w:val="24"/>
        </w:rPr>
        <w:t>Overview</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are a value-oriented company focused on developing, owning, and operating midstream energy infrastructure assets that are strategically located in the core producing areas of unconventional resource basins, primarily shale formations, in the continental U.S.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financial results are driven primarily by volume throughput across our gathering systems and by expense management. We generate the majority of our revenues from the gathering, compression, treating, and processing services that we provide to our customers. A majority of the volumes that we gather, compress, treat and/or process have a fixed-fee rate structure which enhances the stability of our cash flows by providing a revenue stream that is not subject to direct commodity price risk. We also earn a portion of our revenues from the following activities that directly expose us to fluctuations in commodity prices: (i) the sale of physical natural gas and/or NGLs purchased under percentage-of-proceeds or other processing arrangements with certain of our customers in the Rockies, Piceance and Mid-Con segments, (ii) the sale of natural gas we retain from certain Mid-Con segment customers, (iii) the sale of condensate we retain from our gathering services in the Rockies and Piceance segment, and (iv) additional gathering fees that are tied to the performance of certain commodity price indexes which are then added to the fixed gathering rates.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also have indirect exposure to changes in commodity prices such that persistently low commodity prices may cause our customers to delay and/or cancel drilling and/or completion activities or temporarily shut-in production, which would reduce the volumes of natural gas and crude oil (and associated volumes of produced water) that we gather. If certain of our customers cancel or delay drilling and/or completion activities or temporarily shut-in production, the associated MVCs, if any, ensure that we will earn a minimum amount of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certain consolidated and reportable segment financial data. For additional information on our reportable segments, see the “Segment Overview for the Three and Six Months Ended June 30, 2026 and 2025” section included herein.</w:t>
      </w:r>
    </w:p>
    <w:tbl>
      <w:tblPr>
        <w:tblW w:w="10205" w:type="dxa"/>
        <w:jc w:val="left"/>
        <w:tblInd w:w="0" w:type="dxa"/>
        <w:tblLayout w:type="fixed"/>
        <w:tblCellMar>
          <w:top w:w="28" w:type="dxa"/>
          <w:left w:w="28" w:type="dxa"/>
          <w:bottom w:w="28" w:type="dxa"/>
          <w:right w:w="28" w:type="dxa"/>
        </w:tblCellMar>
      </w:tblPr>
      <w:tblGrid>
        <w:gridCol w:w="1887"/>
        <w:gridCol w:w="1564"/>
        <w:gridCol w:w="156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87"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0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Reportable segment adjusted EBITDA</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Rockies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Permian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Mid-Con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Piceance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Capital expenditures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(46,996)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equity method investee - Double 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 paid for the acquisition of Moonrise, net of cash acquired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(69,997)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New Permian Transmission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repayments - Legacy Permian Transmission Term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on Amended and Restated ABL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repayments - Amended and Restated ABL Facility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and redemption of Subsidiary Series A Preferred Units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on Series A Preferred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shares issued for cash,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settlement of Tall Oak earn-out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shares under Share Repurchase Program</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Additional 2029 Secured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258,438 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See “Liquidity and Capital Resources” herein for additional information on capital expenditures.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Trends and Outlook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business has been, and we expect our future business to continue to be, affected by the following key trends: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Ongoing impact of political and economic conditions and events in foreign oil and natural gas producing countries on commodity prices, including the ongoing U.S. military operation in Iran, and the threatened and actual closing of oil shipping routes, including the Strait of Hormuz, by Iran and affiliated groups, the current Russia-Ukraine conflict, international sanctions against Russia, the U.S. military operation in Venezuela, and other sustained military campaigns;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Natural gas, NGL, and crude oil supply and demand dynamics;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Actions of OPEC and its allies, including the ability and willingness of the members of OPEC and other exporting nations to agree to and maintain oil price and production controls;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Production from U.S. shale plays;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General economic conditions, whether internationally, nationally, or in the regional and local market areas in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which we do business, including any future economic downturn, the imposition of tariffs or trade or other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economic sanctions, and political instability;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Capital markets availability and cost of capital;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Inflation and shifts in operating costs.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expectations are based on assumptions made by us and information currently available to us. To the extent our underlying assumptions about, or interpretations of, available information prove to be incorrect, our actual results may vary materially from our expected results. For additional information, see the “Trends and Outlook” section of MD&amp;A included in the 2025 Annual Report.</w:t>
      </w:r>
    </w:p>
    <w:p>
      <w:pPr>
        <w:pStyle w:val="TextBody"/>
        <w:bidi w:val="0"/>
        <w:spacing w:lineRule="auto" w:line="288" w:before="120" w:after="120"/>
        <w:jc w:val="left"/>
        <w:rPr/>
      </w:pPr>
      <w:r>
        <w:rPr>
          <w:rFonts w:ascii="Times New Roman;serif" w:hAnsi="Times New Roman;serif"/>
          <w:b/>
          <w:i/>
          <w:color w:val="000000"/>
          <w:sz w:val="20"/>
        </w:rPr>
        <w:t xml:space="preserve">Double E. </w:t>
      </w:r>
      <w:r>
        <w:rPr>
          <w:rFonts w:ascii="Times New Roman;serif" w:hAnsi="Times New Roman;serif"/>
          <w:b w:val="false"/>
          <w:color w:val="000000"/>
          <w:sz w:val="20"/>
        </w:rPr>
        <w:t>During 2026, as part of the ongoing binding open season for Double E’s compression expansion project, Double E executed three long-term firm transportation agreements totaling 250 MMcf/d and has also entered into a firm option agreement for an additional 200 MMcf/d of capacity which may be executed by a certain shipper (the “Shipper”) during the summer of 2026. Additionally, Double E received an affirmative FID notice on a processing plant expansion from the Shipper on the previously announced 230 MMcf/d firm transportation agreement. With the 250 MMcf/d of new binding agreements entered into thus far during the open season and the affirmative FID on the previously announced 230 MMcf/d firm transportation agreement, Double E’s total contracted firm capacity has increased to approximately 1.9 Bcf/d.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Double E’s compression expansion project would increase the pipeline’s capacity by approximately 50%, from approximately 1.6 Bcf/d to approximately 2.4 Bcf/d. We expect to reach a formal FID by the end of summer 2026. In advance of the FID, Double E has recently executed a purchase order to acquire gas turbine compressors to secure the long lead time equipment necessary for the project and maintain Double E’s end of 2028 targeted in-service date. Additionally, Double E anticipates filing its 7c certificate application with the Federal Energy Regulatory Commission later this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pPr>
      <w:r>
        <w:rPr>
          <w:rFonts w:ascii="Times New Roman;serif" w:hAnsi="Times New Roman;serif"/>
          <w:b/>
          <w:i/>
          <w:color w:val="000000"/>
          <w:sz w:val="20"/>
        </w:rPr>
        <w:t xml:space="preserve">2026 capital structure transactions. </w:t>
      </w:r>
      <w:r>
        <w:rPr>
          <w:rFonts w:ascii="Times New Roman;serif" w:hAnsi="Times New Roman;serif"/>
          <w:b w:val="false"/>
          <w:color w:val="000000"/>
          <w:sz w:val="20"/>
        </w:rPr>
        <w:t>During 2026 we completed several transactions with counterparties that impacted our financial position and quarterly cash flows and will also impact future cash outflows for interest expense, dividends, and operating and financing activities.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u w:val="single"/>
        </w:rPr>
        <w:t>Refinancing of Legacy Permian Transmission Credit Facilities.</w:t>
      </w:r>
      <w:r>
        <w:rPr>
          <w:color w:val="000000"/>
        </w:rPr>
        <w:t xml:space="preserve"> </w:t>
      </w:r>
      <w:r>
        <w:rPr>
          <w:rFonts w:ascii="Times New Roman;serif" w:hAnsi="Times New Roman;serif"/>
          <w:b w:val="false"/>
          <w:color w:val="000000"/>
          <w:sz w:val="20"/>
        </w:rPr>
        <w:t xml:space="preserve">In March 2026, we completed a $440.0 million refinancing of our Legacy Permian Transmission Credit Facilities in the form of the New Permian Transmission Facility having a maturity in March 2031, bearing interest at SOFR plus 4.00% per annum. The New Permian Transmission Facility consists of $340.0 million in initial term loan commitments, $50.0 million in delayed draw commitments (with a commitment fee of 1.00% per annum) and a $50.0 million uncommitted incremental facility. In connection with the New Permian Transmission Facility, Summit Permian Transmission entered into a $7.0 million letter of credit arrangement.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u w:val="single"/>
        </w:rPr>
        <w:t>Redemption of Subsidiary Series A Preferred Units.</w:t>
      </w:r>
      <w:r>
        <w:rPr>
          <w:color w:val="000000"/>
        </w:rPr>
        <w:t xml:space="preserve"> </w:t>
      </w:r>
      <w:r>
        <w:rPr>
          <w:rFonts w:ascii="Times New Roman;serif" w:hAnsi="Times New Roman;serif"/>
          <w:b w:val="false"/>
          <w:color w:val="000000"/>
          <w:sz w:val="20"/>
        </w:rPr>
        <w:t xml:space="preserve">In March 2026, in connection with the Legacy Permian Transmission Credit Facility Refinancing, we redeemed in full all outstanding Subsidiary Series A Preferred Units for $143.2 million.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u w:val="single"/>
        </w:rPr>
        <w:t>Cash settlement of unpaid dividends for Series A Preferred Stock.</w:t>
      </w:r>
      <w:r>
        <w:rPr>
          <w:color w:val="000000"/>
        </w:rPr>
        <w:t xml:space="preserve"> </w:t>
      </w:r>
      <w:r>
        <w:rPr>
          <w:rFonts w:ascii="Times New Roman;serif" w:hAnsi="Times New Roman;serif"/>
          <w:b w:val="false"/>
          <w:color w:val="000000"/>
          <w:sz w:val="20"/>
        </w:rPr>
        <w:t>In March 2026, we made a cash dividend payment to the holders of our Series A Preferred Stock which included $46.3 million for accrued and unpaid dividends owed from March 15, 2020 to December 14, 2024.</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u w:val="single"/>
        </w:rPr>
        <w:t>Equity issuance with a related party.</w:t>
      </w:r>
      <w:r>
        <w:rPr>
          <w:color w:val="000000"/>
        </w:rPr>
        <w:t xml:space="preserve"> </w:t>
      </w:r>
      <w:r>
        <w:rPr>
          <w:rFonts w:ascii="Times New Roman;serif" w:hAnsi="Times New Roman;serif"/>
          <w:b w:val="false"/>
          <w:color w:val="000000"/>
          <w:sz w:val="20"/>
        </w:rPr>
        <w:t>On March 31, 2026, pursuant to a Securities Purchase Agreement (the “Purchase Agreement”), by and among the Company, SMLP and Tall Oak Parent, and solely for purposes of modifying certain existing registration rights as detailed in the Purchase Agreement, Connect Midstream, LLC, we issued and sold to Tall Oak Parent 1,351,351 shares of common stock of the Company in exchange for $41.5 million of cash proceeds, net of $0.5 million of issuance costs. The shares were issued at a price of $31.08 per share, which represented the “Minimum Price” in accordance with NYSE regulations. The shares are subject to a 6-month lock up period and other terms and conditions.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u w:val="single"/>
        </w:rPr>
        <w:t>Share Repurchase Program.</w:t>
      </w:r>
      <w:r>
        <w:rPr>
          <w:color w:val="000000"/>
        </w:rPr>
        <w:t xml:space="preserve"> </w:t>
      </w:r>
      <w:r>
        <w:rPr>
          <w:rFonts w:ascii="Times New Roman;serif" w:hAnsi="Times New Roman;serif"/>
          <w:b w:val="false"/>
          <w:color w:val="000000"/>
          <w:sz w:val="20"/>
        </w:rPr>
        <w:t xml:space="preserve">In June 2026, our Board of Directors authorized the Share Repurchase Program to repurchase up to $35.0 million of SMC’s outstanding common stock. Since the inception of the Share Repurchase Program through June 30, 2026, we have repurchased 34,624 shares of common stock for an aggregate purchase price of $1.0 million, excluding applicable excise taxes. Following these repurchases, as of June 30, 2026, approximately $34.0 million remained available for future repurchases under the program. </w:t>
      </w:r>
    </w:p>
    <w:p>
      <w:pPr>
        <w:pStyle w:val="TextBody"/>
        <w:bidi w:val="0"/>
        <w:spacing w:lineRule="auto" w:line="288" w:before="120" w:after="120"/>
        <w:jc w:val="left"/>
        <w:rPr/>
      </w:pPr>
      <w:r>
        <w:rPr>
          <w:rFonts w:ascii="Times New Roman;serif" w:hAnsi="Times New Roman;serif"/>
          <w:b/>
          <w:i/>
          <w:color w:val="000000"/>
          <w:sz w:val="20"/>
        </w:rPr>
        <w:t>Capital structure optimization and portfolio management</w:t>
      </w:r>
      <w:r>
        <w:rPr>
          <w:rFonts w:ascii="Times New Roman;serif" w:hAnsi="Times New Roman;serif"/>
          <w:b w:val="false"/>
          <w:color w:val="000000"/>
          <w:sz w:val="20"/>
        </w:rPr>
        <w:t xml:space="preserve">. We intend to continue to improve our capital structure in the future by reducing our indebtedness with free cash flow, and when appropriate, we may pursue opportunistic transactions with the objective of increasing long-term shareholder value. This may include opportunistic acquisitions, divestitures, re-allocation of capital to new or existing areas, and development of joint ventures involving our existing midstream assets or new investment opportunities. We believe that our current cash balance, internally generated cash flow, our Amended and Restated ABL Facility, the New Permian Transmission Facility, and access to debt or equity capital markets will be adequate to finance our strategic initiatives. To attain our overall corporate strategic objectives, we may conduct an asset divestiture, or divestitures, at a transaction valuation that is less than the net book value of the divested asset. </w:t>
      </w:r>
    </w:p>
    <w:p>
      <w:pPr>
        <w:pStyle w:val="TextBody"/>
        <w:bidi w:val="0"/>
        <w:spacing w:lineRule="auto" w:line="288" w:before="120" w:after="283"/>
        <w:jc w:val="left"/>
        <w:rPr/>
      </w:pPr>
      <w:r>
        <w:rPr>
          <w:rFonts w:ascii="Times New Roman;serif" w:hAnsi="Times New Roman;serif"/>
          <w:b/>
          <w:i/>
          <w:color w:val="000000"/>
          <w:sz w:val="20"/>
        </w:rPr>
        <w:t xml:space="preserve">Ongoing impact of political and economic conditions and events in foreign oil and natural gas producing countries on commodity prices. </w:t>
      </w:r>
      <w:r>
        <w:rPr>
          <w:rFonts w:ascii="Times New Roman;serif" w:hAnsi="Times New Roman;serif"/>
          <w:b w:val="false"/>
          <w:color w:val="000000"/>
          <w:sz w:val="20"/>
        </w:rPr>
        <w:t>Although we operate solely in the U.S., certain events and conditions in foreign oil and natural gas producing countries, such as the ongoing U.S. military operation in Iran, and the threatened and actual closing of oil shipping routes, including the Strait of Hormuz, by Iran and affiliated groups, Russia’s invasion of Ukraine, and the recent change in Venezuela’s political leadership, could have potential effects on us, including, but not limited to, volatility in currencies and commodity prices, higher inflation, cost and supply chain pressures, and availability and disruptions in banking systems and capital markets. As of the date of filing, there have been no material impacts to us.</w:t>
      </w:r>
    </w:p>
    <w:p>
      <w:pPr>
        <w:pStyle w:val="TextBody"/>
        <w:bidi w:val="0"/>
        <w:spacing w:lineRule="auto" w:line="288" w:before="120" w:after="283"/>
        <w:jc w:val="left"/>
        <w:rPr/>
      </w:pPr>
      <w:r>
        <w:rPr>
          <w:rFonts w:ascii="Times New Roman;serif" w:hAnsi="Times New Roman;serif"/>
          <w:b/>
          <w:i/>
          <w:color w:val="000000"/>
          <w:sz w:val="20"/>
        </w:rPr>
        <w:t>Natural gas, NGL, and crude oil supply and demand dynamics. </w:t>
      </w:r>
      <w:r>
        <w:rPr>
          <w:rFonts w:ascii="Times New Roman;serif" w:hAnsi="Times New Roman;serif"/>
          <w:b w:val="false"/>
          <w:color w:val="000000"/>
          <w:sz w:val="20"/>
        </w:rPr>
        <w:t>Natural gas continues to be a critical component of energy supply and demand in the U.S. Over the long term, we believe that the prospects for continued natural gas demand are favorable and will be driven primarily by global population and economic growth, as well as the continued displacement of coal-fired electricity generation by natural gas-fired electricity generation and increase in U.S. LNG exports. Over the next several years, we expect natural gas prices will support continued upstream industry activity by producers focused on natural gas production.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certain of our gathering systems are directly affected by crude oil supply and demand dynamics. Over the next several years, we expect that crude oil prices will support continued drilling activity and increasing production in the Williston Basin, Permian Basin, and given the current regulatory environment in Colorado, in rural parts of the DJ Basin where we operate.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Despite improving fundamentals that should support additional development activities, we note that over the last several years there has been an increasing societal opposition to the production of hydrocarbons generally, which may be reflected in legislation, executive orders or regulations that may significantly restrict the domestic production of fossil fuels, including natural gas.</w:t>
      </w:r>
    </w:p>
    <w:p>
      <w:pPr>
        <w:pStyle w:val="TextBody"/>
        <w:bidi w:val="0"/>
        <w:spacing w:lineRule="auto" w:line="288" w:before="120" w:after="283"/>
        <w:jc w:val="left"/>
        <w:rPr/>
      </w:pPr>
      <w:r>
        <w:rPr>
          <w:rFonts w:ascii="Times New Roman;serif" w:hAnsi="Times New Roman;serif"/>
          <w:b/>
          <w:i/>
          <w:color w:val="000000"/>
          <w:sz w:val="20"/>
        </w:rPr>
        <w:t>Growth in production from U.S. shale plays.</w:t>
      </w:r>
      <w:r>
        <w:rPr>
          <w:color w:val="000000"/>
        </w:rPr>
        <w:t> </w:t>
      </w:r>
      <w:r>
        <w:rPr>
          <w:rFonts w:ascii="Times New Roman;serif" w:hAnsi="Times New Roman;serif"/>
          <w:b w:val="false"/>
          <w:color w:val="000000"/>
          <w:sz w:val="20"/>
        </w:rPr>
        <w:t xml:space="preserve">Over the past several years, natural gas production from unconventional shale resources has increased due to advances in technology that allow producers to extract significant volumes of natural gas from unconventional shale plays on favorable economic terms relative to most conventional plays. In recent years, a number of producers and their joint venture partners, including large international operators, industrial manufacturers and private equity sponsors, have committed significant capital to the development of these unconventional resources, including the Piceance, Barnett, Bakken, Permian, and Arkoma Basin shale plays in which we operate. We believe that these long-term capital investments should support drilling activity in unconventional shale plays over the long term. </w:t>
      </w:r>
    </w:p>
    <w:p>
      <w:pPr>
        <w:pStyle w:val="TextBody"/>
        <w:bidi w:val="0"/>
        <w:spacing w:lineRule="auto" w:line="288" w:before="120" w:after="283"/>
        <w:jc w:val="left"/>
        <w:rPr/>
      </w:pPr>
      <w:r>
        <w:rPr>
          <w:rFonts w:ascii="Times New Roman;serif" w:hAnsi="Times New Roman;serif"/>
          <w:b/>
          <w:i/>
          <w:color w:val="000000"/>
          <w:sz w:val="20"/>
        </w:rPr>
        <w:t>Rate of growth in production from U.S. shale plays. </w:t>
      </w:r>
      <w:r>
        <w:rPr>
          <w:rFonts w:ascii="Times New Roman;serif" w:hAnsi="Times New Roman;serif"/>
          <w:b w:val="false"/>
          <w:color w:val="000000"/>
          <w:sz w:val="20"/>
        </w:rPr>
        <w:t>Some of our producer customers have adjusted their drilling and completion activities and schedules to manage drilling and completion costs at levels that are achievable using internally generated cash flow from their underlying operations. Historically, as part of a strategy to accelerate production growth, these producers would raise external capital to fund drilling and completion costs in excess of the cash flows generated from their underlying assets. Producers are experiencing increasing pressure from their investors to focus on returning capital and maximizing free cash flow versus re-investing that cash flow into development. In general, we expect our producer customers to maintain moderate completion and production activities across many of our systems relative to our previous expectations as a result of the commodity price environment and a continuation of the general trend of producers constraining drilling and completion activity to levels that can be satisfied with internally generated cash flow.</w:t>
      </w:r>
    </w:p>
    <w:p>
      <w:pPr>
        <w:pStyle w:val="TextBody"/>
        <w:bidi w:val="0"/>
        <w:spacing w:lineRule="auto" w:line="288" w:before="120" w:after="283"/>
        <w:jc w:val="left"/>
        <w:rPr/>
      </w:pPr>
      <w:r>
        <w:rPr>
          <w:rFonts w:ascii="Times New Roman;serif" w:hAnsi="Times New Roman;serif"/>
          <w:b/>
          <w:i/>
          <w:color w:val="000000"/>
          <w:sz w:val="20"/>
        </w:rPr>
        <w:t>Capital markets availability and cost of capital.</w:t>
      </w:r>
      <w:r>
        <w:rPr>
          <w:color w:val="000000"/>
        </w:rPr>
        <w:t> </w:t>
      </w:r>
      <w:r>
        <w:rPr>
          <w:rFonts w:ascii="Times New Roman;serif" w:hAnsi="Times New Roman;serif"/>
          <w:b w:val="false"/>
          <w:color w:val="000000"/>
          <w:sz w:val="20"/>
        </w:rPr>
        <w:t>Capital markets conditions, including but not limited to availability and higher borrowing costs, could affect our ability to access the debt and equity capital markets, to the extent necessary, to fund our future growth. In addition, interest rates on future credit facilities and debt offerings could be higher than current levels, causing our financing costs to increase accordingly.</w:t>
      </w:r>
    </w:p>
    <w:p>
      <w:pPr>
        <w:pStyle w:val="TextBody"/>
        <w:bidi w:val="0"/>
        <w:spacing w:lineRule="auto" w:line="288" w:before="120" w:after="283"/>
        <w:jc w:val="left"/>
        <w:rPr/>
      </w:pPr>
      <w:r>
        <w:rPr>
          <w:rFonts w:ascii="Times New Roman;serif" w:hAnsi="Times New Roman;serif"/>
          <w:b/>
          <w:i/>
          <w:color w:val="000000"/>
          <w:sz w:val="20"/>
        </w:rPr>
        <w:t>Inflation and operating costs.</w:t>
      </w:r>
      <w:r>
        <w:rPr>
          <w:color w:val="000000"/>
        </w:rPr>
        <w:t> </w:t>
      </w:r>
      <w:r>
        <w:rPr>
          <w:rFonts w:ascii="Times New Roman;serif" w:hAnsi="Times New Roman;serif"/>
          <w:b w:val="false"/>
          <w:color w:val="000000"/>
          <w:sz w:val="20"/>
        </w:rPr>
        <w:t xml:space="preserve">The annual rate of inflation in the U.S. hit 6.5% in December 2022, one of the highest increases in more than three decades, as measured by the Consumer Price Index. While inflation has declined since the second half of 2022, further increases in inflation could increase our operating costs and the overall cost of capital projects we undertake. While some of our fee arrangements escalate based on changes in price indexes, these fee escalations may not be sufficient to offset an increase in our expenditures. Furthermore, inflation may impact producers’ economic decision making, which in turn could impact their willingness to develop acreage in areas that are more susceptible to inflationary pressures and labor force shortages. </w:t>
      </w:r>
    </w:p>
    <w:p>
      <w:pPr>
        <w:pStyle w:val="TextBody"/>
        <w:bidi w:val="0"/>
        <w:spacing w:lineRule="auto" w:line="288" w:before="120" w:after="283"/>
        <w:jc w:val="left"/>
        <w:rPr/>
      </w:pPr>
      <w:r>
        <w:rPr>
          <w:rFonts w:ascii="Times New Roman;serif" w:hAnsi="Times New Roman;serif"/>
          <w:b/>
          <w:i/>
          <w:color w:val="000000"/>
          <w:sz w:val="20"/>
        </w:rPr>
        <w:t xml:space="preserve">Impact of increases in interest rates. </w:t>
      </w:r>
      <w:r>
        <w:rPr>
          <w:rFonts w:ascii="Times New Roman;serif" w:hAnsi="Times New Roman;serif"/>
          <w:b w:val="false"/>
          <w:color w:val="000000"/>
          <w:sz w:val="20"/>
        </w:rPr>
        <w:t xml:space="preserve">Increases in interest rates could adversely affect our future ability to obtain financing or materially increase the cost of existing and any additional financing. Since March 2022, the Federal Reserve has raised its target range for the federal funds rate multiple times and the timing of any potential further increases or decreases remains uncertain. As of June 30, 2026, we had approximately $825.0 million principal of fixed-rate debt, $79.0 million outstanding under our variable rate Amended and Restated ABL Facility and $350.0 million outstanding under the variable rate New Permian Transmission Facility (see </w:t>
      </w:r>
      <w:r>
        <w:rPr>
          <w:rFonts w:ascii="Times New Roman;serif" w:hAnsi="Times New Roman;serif"/>
          <w:b w:val="false"/>
          <w:i/>
          <w:color w:val="000000"/>
          <w:sz w:val="20"/>
        </w:rPr>
        <w:t xml:space="preserve">Note 8 - Debt </w:t>
      </w:r>
      <w:r>
        <w:rPr>
          <w:rFonts w:ascii="Times New Roman;serif" w:hAnsi="Times New Roman;serif"/>
          <w:b w:val="false"/>
          <w:color w:val="000000"/>
          <w:sz w:val="20"/>
        </w:rPr>
        <w:t xml:space="preserve">for additional information). As of June 30, 2026, we had $100.0 million of interest rate exposure hedged to offset the impact of changes in interest rates on our New Permian Transmission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Consolidated Overview for the Three and Six Months Ended June 30, 2026 and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certain consolidated financial and operating data.</w:t>
      </w:r>
    </w:p>
    <w:tbl>
      <w:tblPr>
        <w:tblW w:w="10205" w:type="dxa"/>
        <w:jc w:val="left"/>
        <w:tblInd w:w="0" w:type="dxa"/>
        <w:tblLayout w:type="fixed"/>
        <w:tblCellMar>
          <w:top w:w="28" w:type="dxa"/>
          <w:left w:w="28" w:type="dxa"/>
          <w:bottom w:w="28" w:type="dxa"/>
          <w:right w:w="28" w:type="dxa"/>
        </w:tblCellMar>
      </w:tblPr>
      <w:tblGrid>
        <w:gridCol w:w="1747"/>
        <w:gridCol w:w="1524"/>
        <w:gridCol w:w="1533"/>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5"/>
      </w:tblGrid>
      <w:tr>
        <w:trPr/>
        <w:tc>
          <w:tcPr>
            <w:tcW w:w="1747"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8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services and related fees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128,347 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NGLs and condensate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294,155 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272,914 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natural gas and NGLs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 and maintenance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integration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asset sales,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Long-lived asset impairments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252,840 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244,131 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interest rate swaps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Volume throughput </w:t>
            </w:r>
            <w:r>
              <w:rPr>
                <w:rFonts w:ascii="Times New Roman;serif" w:hAnsi="Times New Roman;serif"/>
                <w:b/>
                <w:color w:val="000000"/>
                <w:sz w:val="13"/>
              </w:rPr>
              <w:t>(1)</w:t>
            </w:r>
            <w:r>
              <w:rPr>
                <w:rFonts w:ascii="Times New Roman;serif" w:hAnsi="Times New Roman;serif"/>
                <w:b/>
                <w:color w:val="000000"/>
                <w:sz w:val="20"/>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Aggregate average daily throughput - natural gas (MMcf/d)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Aggregate average daily throughput - liquids (Mbbl/d)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Excludes volume throughput for Double E. For additional information, see the Permian section herein under the caption “Segment Overview for the Three and Six Months Ended June 30, 2026 and 2025”.</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lineRule="auto" w:line="288" w:before="120" w:after="283"/>
        <w:jc w:val="left"/>
        <w:rPr/>
      </w:pPr>
      <w:r>
        <w:rPr>
          <w:rFonts w:ascii="Times New Roman;serif" w:hAnsi="Times New Roman;serif"/>
          <w:b/>
          <w:i/>
          <w:color w:val="000000"/>
          <w:sz w:val="20"/>
        </w:rPr>
        <w:t xml:space="preserve">Volumes – Gas. </w:t>
      </w:r>
      <w:r>
        <w:rPr>
          <w:rFonts w:ascii="Times New Roman;serif" w:hAnsi="Times New Roman;serif"/>
          <w:b w:val="false"/>
          <w:color w:val="000000"/>
          <w:sz w:val="20"/>
        </w:rPr>
        <w:t>Natural gas throughput volumes decreased</w:t>
      </w:r>
      <w:r>
        <w:rPr>
          <w:color w:val="FF0000"/>
        </w:rPr>
        <w:t> </w:t>
      </w:r>
      <w:r>
        <w:rPr>
          <w:rFonts w:ascii="Times New Roman;serif" w:hAnsi="Times New Roman;serif"/>
          <w:b w:val="false"/>
          <w:color w:val="000000"/>
          <w:sz w:val="20"/>
        </w:rPr>
        <w:t>13 MMcf/d for the three months ended June 30, 2026 compared to the three months ended June 30, 2025, reflecting:</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 volume throughput increase of 15 MMcf/d for the Rockies segment;</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 volume throughput increase of 21 MMcf/d for the Mid-Con segment;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 volume throughput decrease of 49 MMcf/d for the Piceance segment.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Natural gas throughput volumes decreased 13 MMcf/d for the six months ended June 30, 2026 compared to the six months ended June 30, 2025, reflecting:</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 volume throughput increase of 27 MMcf/d for the Rockies segment;</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 volume throughput increase of 4 MMcf/d for the Mid-Con segment;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 volume throughput decrease of 44 MMcf/d for the Piceance segment.</w:t>
      </w:r>
    </w:p>
    <w:p>
      <w:pPr>
        <w:pStyle w:val="TextBody"/>
        <w:bidi w:val="0"/>
        <w:spacing w:lineRule="auto" w:line="288" w:before="120" w:after="283"/>
        <w:jc w:val="left"/>
        <w:rPr/>
      </w:pPr>
      <w:r>
        <w:rPr>
          <w:rFonts w:ascii="Times New Roman;serif" w:hAnsi="Times New Roman;serif"/>
          <w:b/>
          <w:i/>
          <w:color w:val="000000"/>
          <w:sz w:val="20"/>
        </w:rPr>
        <w:t xml:space="preserve">Volumes – Liquids. </w:t>
      </w:r>
      <w:r>
        <w:rPr>
          <w:rFonts w:ascii="Times New Roman;serif" w:hAnsi="Times New Roman;serif"/>
          <w:b w:val="false"/>
          <w:color w:val="000000"/>
          <w:sz w:val="20"/>
        </w:rPr>
        <w:t>Crude oil and produced water throughput volumes at the Rockies segment decreased for the three months ended June 30, 2026, compared to the three months ended June 30, 2025, primarily due to natural production declines, offset by 29 new well connections that came online subsequent to June 30,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Crude oil and produced water throughput volumes at the Rockies segment decreased for the six months ended June 30, 2026, compared to the six months ended June 30, 2025, primarily due to natural production declines, offset by 29 new well connections that came online subsequent to June 30,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additional information on volumes, see the “Segment Overview for the Three and Six Months Ended June 30, 2026 and 2025” section herein.</w:t>
      </w:r>
    </w:p>
    <w:p>
      <w:pPr>
        <w:pStyle w:val="TextBody"/>
        <w:bidi w:val="0"/>
        <w:spacing w:lineRule="auto" w:line="288" w:before="120" w:after="283"/>
        <w:jc w:val="left"/>
        <w:rPr/>
      </w:pPr>
      <w:r>
        <w:rPr>
          <w:rFonts w:ascii="Times New Roman;serif" w:hAnsi="Times New Roman;serif"/>
          <w:b/>
          <w:i/>
          <w:color w:val="000000"/>
          <w:sz w:val="20"/>
        </w:rPr>
        <w:t>Revenues.</w:t>
      </w:r>
      <w:r>
        <w:rPr>
          <w:color w:val="000000"/>
        </w:rPr>
        <w:t> </w:t>
      </w:r>
      <w:r>
        <w:rPr>
          <w:rFonts w:ascii="Times New Roman;serif" w:hAnsi="Times New Roman;serif"/>
          <w:b w:val="false"/>
          <w:color w:val="000000"/>
          <w:sz w:val="20"/>
        </w:rPr>
        <w:t>Total revenues increased $14.8 million during the three months ended June 30, 2026 compared to the three months ended June 30, 2025, comprised of a $17.8 million increase</w:t>
      </w:r>
      <w:r>
        <w:rPr>
          <w:color w:val="FF0000"/>
        </w:rPr>
        <w:t> </w:t>
      </w:r>
      <w:r>
        <w:rPr>
          <w:rFonts w:ascii="Times New Roman;serif" w:hAnsi="Times New Roman;serif"/>
          <w:b w:val="false"/>
          <w:color w:val="000000"/>
          <w:sz w:val="20"/>
        </w:rPr>
        <w:t xml:space="preserve">in natural gas, NGLs and condensate sales, a $1.5 million decrease in gathering services and related fees and a $1.5 million decrease in other revenue. </w:t>
      </w:r>
    </w:p>
    <w:p>
      <w:pPr>
        <w:pStyle w:val="TextBody"/>
        <w:bidi w:val="0"/>
        <w:spacing w:lineRule="auto" w:line="288" w:before="120" w:after="283"/>
        <w:jc w:val="left"/>
        <w:rPr/>
      </w:pPr>
      <w:r>
        <w:rPr>
          <w:rFonts w:ascii="Times New Roman;serif" w:hAnsi="Times New Roman;serif"/>
          <w:b w:val="false"/>
          <w:color w:val="000000"/>
          <w:sz w:val="20"/>
          <w:u w:val="single"/>
        </w:rPr>
        <w:t>Gathering Services and Related Fees</w:t>
      </w:r>
      <w:r>
        <w:rPr>
          <w:rFonts w:ascii="Times New Roman;serif" w:hAnsi="Times New Roman;serif"/>
          <w:b w:val="false"/>
          <w:color w:val="000000"/>
          <w:sz w:val="20"/>
        </w:rPr>
        <w:t>. Gathering services and related fees decreased $1.5 million compared to the three months ended June 30, 2025, primarily reflecting: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 $0.7 million decrease in the Rockies;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$1.8 million increase in the Mid-Con; and</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rPr>
        <w:t>a $2.6 million decrease in the Piceance, primarily due to decreased volume throughput.</w:t>
      </w:r>
    </w:p>
    <w:p>
      <w:pPr>
        <w:pStyle w:val="TextBody"/>
        <w:bidi w:val="0"/>
        <w:spacing w:lineRule="auto" w:line="288" w:before="120" w:after="283"/>
        <w:jc w:val="left"/>
        <w:rPr/>
      </w:pPr>
      <w:r>
        <w:rPr>
          <w:rFonts w:ascii="Times New Roman;serif" w:hAnsi="Times New Roman;serif"/>
          <w:b w:val="false"/>
          <w:color w:val="000000"/>
          <w:sz w:val="20"/>
          <w:u w:val="single"/>
        </w:rPr>
        <w:t>Natural Gas, NGLs and Condensate Sales</w:t>
      </w:r>
      <w:r>
        <w:rPr>
          <w:rFonts w:ascii="Times New Roman;serif" w:hAnsi="Times New Roman;serif"/>
          <w:b w:val="false"/>
          <w:color w:val="000000"/>
          <w:sz w:val="20"/>
        </w:rPr>
        <w:t>. Natural gas, NGLs and condensate revenues increased</w:t>
      </w:r>
      <w:r>
        <w:rPr>
          <w:color w:val="FF0000"/>
        </w:rPr>
        <w:t> </w:t>
      </w:r>
      <w:r>
        <w:rPr>
          <w:rFonts w:ascii="Times New Roman;serif" w:hAnsi="Times New Roman;serif"/>
          <w:b w:val="false"/>
          <w:color w:val="000000"/>
          <w:sz w:val="20"/>
        </w:rPr>
        <w:t xml:space="preserve">$17.8 million compared to the three months ended June 30, 2025, primarily reflecting: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$20.9 million increase in the Rockies, primarily reflecting new well connections and additional throughput in connection with the Moonrise Acquisition, partially offset by natural production declines;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$3.0 million decrease in the Mid-Con.</w:t>
      </w:r>
    </w:p>
    <w:p>
      <w:pPr>
        <w:pStyle w:val="TextBody"/>
        <w:bidi w:val="0"/>
        <w:spacing w:lineRule="auto" w:line="288" w:before="120" w:after="283"/>
        <w:jc w:val="left"/>
        <w:rPr/>
      </w:pPr>
      <w:r>
        <w:rPr>
          <w:rFonts w:ascii="Times New Roman;serif" w:hAnsi="Times New Roman;serif"/>
          <w:b w:val="false"/>
          <w:color w:val="000000"/>
          <w:sz w:val="20"/>
        </w:rPr>
        <w:t>Total revenues increased $21.2 million during the six months ended June 30, 2026 compared to the six months ended June 30, 2025, comprised of a $32.1 million increase</w:t>
      </w:r>
      <w:r>
        <w:rPr>
          <w:color w:val="FF0000"/>
        </w:rPr>
        <w:t> </w:t>
      </w:r>
      <w:r>
        <w:rPr>
          <w:rFonts w:ascii="Times New Roman;serif" w:hAnsi="Times New Roman;serif"/>
          <w:b w:val="false"/>
          <w:color w:val="000000"/>
          <w:sz w:val="20"/>
        </w:rPr>
        <w:t xml:space="preserve">in natural gas, NGLs and condensate sales, a $6.1 million decrease in gathering services and related fees and a $4.8 million decrease in other revenue. </w:t>
      </w:r>
    </w:p>
    <w:p>
      <w:pPr>
        <w:pStyle w:val="TextBody"/>
        <w:bidi w:val="0"/>
        <w:spacing w:lineRule="auto" w:line="288" w:before="120" w:after="283"/>
        <w:jc w:val="left"/>
        <w:rPr/>
      </w:pPr>
      <w:r>
        <w:rPr>
          <w:rFonts w:ascii="Times New Roman;serif" w:hAnsi="Times New Roman;serif"/>
          <w:b w:val="false"/>
          <w:color w:val="000000"/>
          <w:sz w:val="20"/>
          <w:u w:val="single"/>
        </w:rPr>
        <w:t>Gathering Services and Related Fees</w:t>
      </w:r>
      <w:r>
        <w:rPr>
          <w:rFonts w:ascii="Times New Roman;serif" w:hAnsi="Times New Roman;serif"/>
          <w:b w:val="false"/>
          <w:color w:val="000000"/>
          <w:sz w:val="20"/>
        </w:rPr>
        <w:t>. Gathering services and related fees decreased $6.1 million compared to the six months ended June 30, 2025, primarily reflecting: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 $2.0 million decrease in the Rockies;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$1.0 million increase in the Mid-Con; and</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rPr>
        <w:t>a $5.1 million decrease in the Piceance, primarily due to decreased volume throughput.</w:t>
      </w:r>
    </w:p>
    <w:p>
      <w:pPr>
        <w:pStyle w:val="TextBody"/>
        <w:bidi w:val="0"/>
        <w:spacing w:lineRule="auto" w:line="288" w:before="120" w:after="283"/>
        <w:jc w:val="left"/>
        <w:rPr/>
      </w:pPr>
      <w:r>
        <w:rPr>
          <w:rFonts w:ascii="Times New Roman;serif" w:hAnsi="Times New Roman;serif"/>
          <w:b w:val="false"/>
          <w:color w:val="000000"/>
          <w:sz w:val="20"/>
          <w:u w:val="single"/>
        </w:rPr>
        <w:t>Natural Gas, NGLs and Condensate Sales</w:t>
      </w:r>
      <w:r>
        <w:rPr>
          <w:rFonts w:ascii="Times New Roman;serif" w:hAnsi="Times New Roman;serif"/>
          <w:b w:val="false"/>
          <w:color w:val="000000"/>
          <w:sz w:val="20"/>
        </w:rPr>
        <w:t>. Natural gas, NGLs and condensate revenues increased</w:t>
      </w:r>
      <w:r>
        <w:rPr>
          <w:color w:val="FF0000"/>
        </w:rPr>
        <w:t> </w:t>
      </w:r>
      <w:r>
        <w:rPr>
          <w:rFonts w:ascii="Times New Roman;serif" w:hAnsi="Times New Roman;serif"/>
          <w:b w:val="false"/>
          <w:color w:val="000000"/>
          <w:sz w:val="20"/>
        </w:rPr>
        <w:t xml:space="preserve">$32.1 million compared to the six months ended June 30, 2025, primarily reflecting: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$35.9 million increase in the Rockies, primarily reflecting new well connections and additional throughput in connection with the Moonrise Acquisition, partially offset by natural production declines;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$3.3 million decrease in the Mid-Con.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pPr>
      <w:r>
        <w:rPr>
          <w:rFonts w:ascii="Times New Roman;serif" w:hAnsi="Times New Roman;serif"/>
          <w:b/>
          <w:i/>
          <w:color w:val="000000"/>
          <w:sz w:val="20"/>
        </w:rPr>
        <w:t>Costs and Expenses.</w:t>
      </w:r>
      <w:r>
        <w:rPr>
          <w:color w:val="000000"/>
        </w:rPr>
        <w:t> </w:t>
      </w:r>
      <w:r>
        <w:rPr>
          <w:rFonts w:ascii="Times New Roman;serif" w:hAnsi="Times New Roman;serif"/>
          <w:b w:val="false"/>
          <w:color w:val="000000"/>
          <w:sz w:val="20"/>
        </w:rPr>
        <w:t>Total costs and expenses increased $4.0 million during the three months ended June 30, 2026 compared to the three months ended June 30,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 increased $8.7 million during the six months ended June 30, 2026 compared to the six months ended June 30, 2025.</w:t>
      </w:r>
    </w:p>
    <w:p>
      <w:pPr>
        <w:pStyle w:val="TextBody"/>
        <w:bidi w:val="0"/>
        <w:spacing w:lineRule="auto" w:line="288" w:before="120" w:after="283"/>
        <w:jc w:val="left"/>
        <w:rPr/>
      </w:pPr>
      <w:r>
        <w:rPr>
          <w:rFonts w:ascii="Times New Roman;serif" w:hAnsi="Times New Roman;serif"/>
          <w:b w:val="false"/>
          <w:color w:val="000000"/>
          <w:sz w:val="20"/>
          <w:u w:val="single"/>
        </w:rPr>
        <w:t>Cost of Natural Gas and NGLs</w:t>
      </w:r>
      <w:r>
        <w:rPr>
          <w:rFonts w:ascii="Times New Roman;serif" w:hAnsi="Times New Roman;serif"/>
          <w:b w:val="false"/>
          <w:color w:val="000000"/>
          <w:sz w:val="20"/>
        </w:rPr>
        <w:t>. Cost of natural gas and NGLs increased $13.2 million for the three months ended June 30, 2026, compared to the three months ended June 30, 2025 primarily associated with increased natural gas and NGL sales within the Rockies segment.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Cost of natural gas and NGLs increased $17.1 million for the six months ended June 30, 2026, compared to the six months ended June 30, 2025 primarily associated with increased natural gas and NGL sales within the Rockies segment.</w:t>
      </w:r>
    </w:p>
    <w:p>
      <w:pPr>
        <w:pStyle w:val="TextBody"/>
        <w:bidi w:val="0"/>
        <w:spacing w:lineRule="auto" w:line="288" w:before="120" w:after="283"/>
        <w:jc w:val="left"/>
        <w:rPr/>
      </w:pPr>
      <w:r>
        <w:rPr>
          <w:rFonts w:ascii="Times New Roman;serif" w:hAnsi="Times New Roman;serif"/>
          <w:b w:val="false"/>
          <w:color w:val="000000"/>
          <w:sz w:val="20"/>
          <w:u w:val="single"/>
        </w:rPr>
        <w:t>Operation and maintenance</w:t>
      </w:r>
      <w:r>
        <w:rPr>
          <w:rFonts w:ascii="Times New Roman;serif" w:hAnsi="Times New Roman;serif"/>
          <w:b w:val="false"/>
          <w:color w:val="000000"/>
          <w:sz w:val="20"/>
        </w:rPr>
        <w:t>. Operation and maintenance expense increased $0.6 million for the three months ended June 30, 2026, compared to the three months ended June 30,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Operation and maintenance expense increased $5.3 million for the six months ended June 30, 2026, compared to the six months ended June 30, 2025 primarily as a result of the Moonrise Acquisition which closed in March 2025.</w:t>
      </w:r>
    </w:p>
    <w:p>
      <w:pPr>
        <w:pStyle w:val="TextBody"/>
        <w:bidi w:val="0"/>
        <w:spacing w:lineRule="auto" w:line="288" w:before="120" w:after="283"/>
        <w:jc w:val="left"/>
        <w:rPr/>
      </w:pPr>
      <w:r>
        <w:rPr>
          <w:rFonts w:ascii="Times New Roman;serif" w:hAnsi="Times New Roman;serif"/>
          <w:b w:val="false"/>
          <w:color w:val="000000"/>
          <w:sz w:val="20"/>
          <w:u w:val="single"/>
        </w:rPr>
        <w:t>General and administrative</w:t>
      </w:r>
      <w:r>
        <w:rPr>
          <w:rFonts w:ascii="Times New Roman;serif" w:hAnsi="Times New Roman;serif"/>
          <w:b w:val="false"/>
          <w:color w:val="000000"/>
          <w:sz w:val="20"/>
        </w:rPr>
        <w:t>. General and administrative expense decreased $1.8 million for the three months ended June 30, 2026, compared to the three months ended June 30, 2025 primarily as a result of $2.1 million of severance expense incurred in 2025, reduced professional and legal expenses in 2026, partially offset by increased salaries and benefit expense. For the three months ended June 30, 2026 and 2025, general and administrative expenses include $3.0 million and $2.4 million of noncash stock-based compensation,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decreased $0.6 million for the six months ended June 30, 2026, compared to the six months ended June 30, 2025.</w:t>
      </w:r>
    </w:p>
    <w:p>
      <w:pPr>
        <w:pStyle w:val="TextBody"/>
        <w:bidi w:val="0"/>
        <w:spacing w:lineRule="auto" w:line="268" w:before="120" w:after="283"/>
        <w:jc w:val="left"/>
        <w:rPr/>
      </w:pPr>
      <w:r>
        <w:rPr>
          <w:rFonts w:ascii="Times New Roman;serif" w:hAnsi="Times New Roman;serif"/>
          <w:b w:val="false"/>
          <w:color w:val="000000"/>
          <w:sz w:val="20"/>
          <w:u w:val="single"/>
        </w:rPr>
        <w:t>Depreciation and amortization</w:t>
      </w:r>
      <w:r>
        <w:rPr>
          <w:rFonts w:ascii="Times New Roman;serif" w:hAnsi="Times New Roman;serif"/>
          <w:b w:val="false"/>
          <w:color w:val="000000"/>
          <w:sz w:val="20"/>
        </w:rPr>
        <w:t>. Depreciation and amortization expense decreased $3.2 million for the three months ended June 30, 2026, compared to the three months ended June 30, 2025, primarily due to certain Piceance segment assets that were disposed of during the quarterly period ended September 30, 2025.</w:t>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decreased $5.0 million for the six months ended June 30, 2026, compared to the six months ended June 30, 2025, primarily due to certain Piceance segment assets that were disposed of during the quarterly period ended September 30, 2025.</w:t>
      </w:r>
    </w:p>
    <w:p>
      <w:pPr>
        <w:pStyle w:val="TextBody"/>
        <w:bidi w:val="0"/>
        <w:spacing w:lineRule="auto" w:line="288" w:before="120" w:after="283"/>
        <w:jc w:val="left"/>
        <w:rPr/>
      </w:pPr>
      <w:r>
        <w:rPr>
          <w:rFonts w:ascii="Times New Roman;serif" w:hAnsi="Times New Roman;serif"/>
          <w:b w:val="false"/>
          <w:color w:val="000000"/>
          <w:sz w:val="20"/>
          <w:u w:val="single"/>
        </w:rPr>
        <w:t>Transaction costs</w:t>
      </w:r>
      <w:r>
        <w:rPr>
          <w:rFonts w:ascii="Times New Roman;serif" w:hAnsi="Times New Roman;serif"/>
          <w:b w:val="false"/>
          <w:color w:val="000000"/>
          <w:sz w:val="20"/>
        </w:rPr>
        <w:t xml:space="preserve">. During 2025, transaction costs primarily relate to the Moonrise Acquisition and the Tall Oak Acquisition. </w:t>
      </w:r>
    </w:p>
    <w:p>
      <w:pPr>
        <w:pStyle w:val="TextBody"/>
        <w:bidi w:val="0"/>
        <w:spacing w:lineRule="auto" w:line="288" w:before="120" w:after="283"/>
        <w:jc w:val="left"/>
        <w:rPr/>
      </w:pPr>
      <w:r>
        <w:rPr>
          <w:rFonts w:ascii="Times New Roman;serif" w:hAnsi="Times New Roman;serif"/>
          <w:b w:val="false"/>
          <w:color w:val="000000"/>
          <w:sz w:val="20"/>
          <w:u w:val="single"/>
        </w:rPr>
        <w:t>Acquisition integration costs</w:t>
      </w:r>
      <w:r>
        <w:rPr>
          <w:rFonts w:ascii="Times New Roman;serif" w:hAnsi="Times New Roman;serif"/>
          <w:b w:val="false"/>
          <w:color w:val="000000"/>
          <w:sz w:val="20"/>
        </w:rPr>
        <w:t>. Acquisition and integration costs during 2025 primarily relate to fees paid to third-party service providers to integrate the Tall Oak Acquisition and the Moonrise Acquisition into the Company’s operational platform.</w:t>
      </w:r>
    </w:p>
    <w:p>
      <w:pPr>
        <w:pStyle w:val="TextBody"/>
        <w:bidi w:val="0"/>
        <w:spacing w:lineRule="auto" w:line="288" w:before="120" w:after="283"/>
        <w:jc w:val="left"/>
        <w:rPr/>
      </w:pPr>
      <w:r>
        <w:rPr>
          <w:rFonts w:ascii="Times New Roman;serif" w:hAnsi="Times New Roman;serif"/>
          <w:b w:val="false"/>
          <w:color w:val="000000"/>
          <w:sz w:val="20"/>
          <w:u w:val="single"/>
        </w:rPr>
        <w:t>Interest expense</w:t>
      </w:r>
      <w:r>
        <w:rPr>
          <w:rFonts w:ascii="Times New Roman;serif" w:hAnsi="Times New Roman;serif"/>
          <w:b w:val="false"/>
          <w:color w:val="000000"/>
          <w:sz w:val="20"/>
        </w:rPr>
        <w:t>. Interest expense increased $3.5 million for the three months ended June 30, 2026, compared to the three months ended June 30, 2025, primarily related to $4.5 million of increased interest expense associated with the Permian Transmission credit facilities, partially offset by $1.1 million of decreased interest expense associated with the Amended and Restated ABL Facility.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increased $6.0 million for the six months ended June 30, 2026, compared to the six months ended June 30, 2025 primarily related to $4.4 million of increased interest expense associated with the Permian Transmission credit facilities and $1.8 million of increased debt issuance cost amortization, primarily related to the first quarter 2026 write-off of the remaining unamortized debt issuance costs on the Legacy Permian Transmission Credit Facilities.</w:t>
      </w:r>
    </w:p>
    <w:p>
      <w:pPr>
        <w:pStyle w:val="TextBody"/>
        <w:bidi w:val="0"/>
        <w:spacing w:lineRule="auto" w:line="288" w:before="120" w:after="283"/>
        <w:jc w:val="left"/>
        <w:rPr/>
      </w:pPr>
      <w:r>
        <w:rPr>
          <w:rFonts w:ascii="Times New Roman;serif" w:hAnsi="Times New Roman;serif"/>
          <w:b w:val="false"/>
          <w:color w:val="000000"/>
          <w:sz w:val="20"/>
          <w:u w:val="single"/>
        </w:rPr>
        <w:t>Income tax</w:t>
      </w:r>
      <w:r>
        <w:rPr>
          <w:rFonts w:ascii="Times New Roman;serif" w:hAnsi="Times New Roman;serif"/>
          <w:b w:val="false"/>
          <w:color w:val="000000"/>
          <w:sz w:val="20"/>
        </w:rPr>
        <w:t>. For the six months ended June 30, 2026, our effective tax rate is different than the U.S. federal statutory income tax rate of 21% primarily due to income allocated to the noncontrolling interest, nondeductible executive compensation, and excess tax benefits related to stock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Segment Overview 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i/>
          <w:color w:val="000000"/>
          <w:sz w:val="20"/>
        </w:rPr>
        <w:t>Rockies.</w:t>
      </w:r>
      <w:r>
        <w:rPr>
          <w:color w:val="000000"/>
        </w:rPr>
        <w: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Volume throughput for our Rockies reportable segment follow:</w:t>
      </w:r>
    </w:p>
    <w:tbl>
      <w:tblPr>
        <w:tblW w:w="10205" w:type="dxa"/>
        <w:jc w:val="left"/>
        <w:tblInd w:w="0" w:type="dxa"/>
        <w:tblLayout w:type="fixed"/>
        <w:tblCellMar>
          <w:top w:w="28" w:type="dxa"/>
          <w:left w:w="28" w:type="dxa"/>
          <w:bottom w:w="28" w:type="dxa"/>
          <w:right w:w="28" w:type="dxa"/>
        </w:tblCellMar>
      </w:tblPr>
      <w:tblGrid>
        <w:gridCol w:w="1312"/>
        <w:gridCol w:w="1155"/>
        <w:gridCol w:w="1158"/>
        <w:gridCol w:w="249"/>
        <w:gridCol w:w="203"/>
        <w:gridCol w:w="203"/>
        <w:gridCol w:w="203"/>
        <w:gridCol w:w="203"/>
        <w:gridCol w:w="203"/>
        <w:gridCol w:w="249"/>
        <w:gridCol w:w="203"/>
        <w:gridCol w:w="203"/>
        <w:gridCol w:w="109"/>
        <w:gridCol w:w="109"/>
        <w:gridCol w:w="109"/>
        <w:gridCol w:w="305"/>
        <w:gridCol w:w="305"/>
        <w:gridCol w:w="306"/>
        <w:gridCol w:w="109"/>
        <w:gridCol w:w="109"/>
        <w:gridCol w:w="109"/>
        <w:gridCol w:w="230"/>
        <w:gridCol w:w="195"/>
        <w:gridCol w:w="189"/>
        <w:gridCol w:w="189"/>
        <w:gridCol w:w="189"/>
        <w:gridCol w:w="189"/>
        <w:gridCol w:w="230"/>
        <w:gridCol w:w="195"/>
        <w:gridCol w:w="189"/>
        <w:gridCol w:w="109"/>
        <w:gridCol w:w="109"/>
        <w:gridCol w:w="109"/>
        <w:gridCol w:w="281"/>
        <w:gridCol w:w="281"/>
        <w:gridCol w:w="407"/>
      </w:tblGrid>
      <w:tr>
        <w:trPr/>
        <w:tc>
          <w:tcPr>
            <w:tcW w:w="131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Rockies</w:t>
            </w:r>
          </w:p>
        </w:tc>
      </w:tr>
      <w:tr>
        <w:trPr/>
        <w:tc>
          <w:tcPr>
            <w:tcW w:w="3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36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Aggregate average daily throughput - natural gas (MMcf/d)</w:t>
            </w:r>
          </w:p>
        </w:tc>
        <w:tc>
          <w:tcPr>
            <w:tcW w:w="6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162</w:t>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165</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Aggregate average daily throughput - liquids (Mbbl/d)</w:t>
            </w:r>
          </w:p>
        </w:tc>
        <w:tc>
          <w:tcPr>
            <w:tcW w:w="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68</w:t>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66</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r>
    </w:tbl>
    <w:p>
      <w:pPr>
        <w:pStyle w:val="TextBody"/>
        <w:bidi w:val="0"/>
        <w:spacing w:lineRule="auto" w:line="268" w:before="120" w:after="283"/>
        <w:jc w:val="left"/>
        <w:rPr/>
      </w:pPr>
      <w:r>
        <w:rPr>
          <w:rFonts w:ascii="Times New Roman;serif" w:hAnsi="Times New Roman;serif"/>
          <w:b w:val="false"/>
          <w:color w:val="000000"/>
          <w:sz w:val="20"/>
          <w:u w:val="single"/>
        </w:rPr>
        <w:t>Natural gas</w:t>
      </w:r>
      <w:r>
        <w:rPr>
          <w:rFonts w:ascii="Times New Roman;serif" w:hAnsi="Times New Roman;serif"/>
          <w:b w:val="false"/>
          <w:color w:val="000000"/>
          <w:sz w:val="20"/>
        </w:rPr>
        <w:t>. Natural gas volume throughput increased for the three and six months ended June 30, 2026,</w:t>
      </w:r>
      <w:r>
        <w:rPr>
          <w:color w:val="FF0000"/>
        </w:rPr>
        <w:t> </w:t>
      </w:r>
      <w:r>
        <w:rPr>
          <w:rFonts w:ascii="Times New Roman;serif" w:hAnsi="Times New Roman;serif"/>
          <w:b w:val="false"/>
          <w:color w:val="000000"/>
          <w:sz w:val="20"/>
        </w:rPr>
        <w:t>compared to the three and six months ended June 30, 2025, primarily reflecting 71 new well connections that came online subsequent to June 30, 2025 and additional throughput in connection with the Moonrise Acquisition, partially offset by natural production declines.</w:t>
      </w:r>
    </w:p>
    <w:p>
      <w:pPr>
        <w:pStyle w:val="TextBody"/>
        <w:bidi w:val="0"/>
        <w:spacing w:lineRule="auto" w:line="268" w:before="120" w:after="283"/>
        <w:jc w:val="left"/>
        <w:rPr/>
      </w:pPr>
      <w:r>
        <w:rPr>
          <w:rFonts w:ascii="Times New Roman;serif" w:hAnsi="Times New Roman;serif"/>
          <w:b w:val="false"/>
          <w:color w:val="000000"/>
          <w:sz w:val="20"/>
          <w:u w:val="single"/>
        </w:rPr>
        <w:t>Liquids</w:t>
      </w:r>
      <w:r>
        <w:rPr>
          <w:rFonts w:ascii="Times New Roman;serif" w:hAnsi="Times New Roman;serif"/>
          <w:b w:val="false"/>
          <w:color w:val="000000"/>
          <w:sz w:val="20"/>
        </w:rPr>
        <w:t>. Liquids volume throughput decreased for the three and six months ended June 30, 2026, compared to the three and six months ended June 30, 2025, primarily due to natural production declines, partially offset by 29 new well connections that came online subsequent to June 30, 2025.</w:t>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Financial data for our Rockies reportable segment follows.</w:t>
      </w:r>
    </w:p>
    <w:tbl>
      <w:tblPr>
        <w:tblW w:w="10205" w:type="dxa"/>
        <w:jc w:val="left"/>
        <w:tblInd w:w="0" w:type="dxa"/>
        <w:tblLayout w:type="fixed"/>
        <w:tblCellMar>
          <w:top w:w="28" w:type="dxa"/>
          <w:left w:w="28" w:type="dxa"/>
          <w:bottom w:w="28" w:type="dxa"/>
          <w:right w:w="28" w:type="dxa"/>
        </w:tblCellMar>
      </w:tblPr>
      <w:tblGrid>
        <w:gridCol w:w="1074"/>
        <w:gridCol w:w="724"/>
        <w:gridCol w:w="729"/>
        <w:gridCol w:w="211"/>
        <w:gridCol w:w="721"/>
        <w:gridCol w:w="109"/>
        <w:gridCol w:w="109"/>
        <w:gridCol w:w="109"/>
        <w:gridCol w:w="109"/>
        <w:gridCol w:w="211"/>
        <w:gridCol w:w="721"/>
        <w:gridCol w:w="109"/>
        <w:gridCol w:w="109"/>
        <w:gridCol w:w="109"/>
        <w:gridCol w:w="109"/>
        <w:gridCol w:w="305"/>
        <w:gridCol w:w="305"/>
        <w:gridCol w:w="306"/>
        <w:gridCol w:w="109"/>
        <w:gridCol w:w="109"/>
        <w:gridCol w:w="109"/>
        <w:gridCol w:w="211"/>
        <w:gridCol w:w="721"/>
        <w:gridCol w:w="109"/>
        <w:gridCol w:w="109"/>
        <w:gridCol w:w="109"/>
        <w:gridCol w:w="109"/>
        <w:gridCol w:w="211"/>
        <w:gridCol w:w="721"/>
        <w:gridCol w:w="109"/>
        <w:gridCol w:w="109"/>
        <w:gridCol w:w="109"/>
        <w:gridCol w:w="109"/>
        <w:gridCol w:w="281"/>
        <w:gridCol w:w="281"/>
        <w:gridCol w:w="401"/>
      </w:tblGrid>
      <w:tr>
        <w:trPr/>
        <w:tc>
          <w:tcPr>
            <w:tcW w:w="107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8"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Rockies</w:t>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services and related fees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NGLs and condensate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natural gas and NGLs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 and maintenance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25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asset sales,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 impairment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78,389 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148,793 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Add:</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related to capital reimbursement activity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asset sales,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 impairment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r>
    </w:tbl>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 Not considered meaningful</w:t>
      </w:r>
    </w:p>
    <w:p>
      <w:pPr>
        <w:pStyle w:val="TextBody"/>
        <w:bidi w:val="0"/>
        <w:spacing w:lineRule="auto" w:line="268" w:before="120" w:after="283"/>
        <w:jc w:val="left"/>
        <w:rPr/>
      </w:pPr>
      <w:r>
        <w:rPr>
          <w:rFonts w:ascii="Times New Roman;serif" w:hAnsi="Times New Roman;serif"/>
          <w:b w:val="false"/>
          <w:color w:val="000000"/>
          <w:sz w:val="20"/>
          <w:u w:val="single"/>
        </w:rPr>
        <w:t>Three and six months ended June 30, 2026</w:t>
      </w:r>
      <w:r>
        <w:rPr>
          <w:rFonts w:ascii="Times New Roman;serif" w:hAnsi="Times New Roman;serif"/>
          <w:b w:val="false"/>
          <w:color w:val="000000"/>
          <w:sz w:val="20"/>
        </w:rPr>
        <w:t>. Segment adjusted EBITDA increased $5.1 million and $6.6 million, respectively, compared to the three and six months ended June 30, 2025. The increase was primarily attributable to increased natural gas throughput and a favorable margin mix, partially offset by lower liquids volume throughput. The six months ended June 30, 2026 was also impacted by increased operations and maintenance expense and general and administrative costs associated with the Moonrise Acquisition, partially offset by lower freshwater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is providing the below additional financial and operational details for its liquids related activities within its Rockies segment (in thousands):</w:t>
      </w:r>
    </w:p>
    <w:tbl>
      <w:tblPr>
        <w:tblW w:w="10205" w:type="dxa"/>
        <w:jc w:val="left"/>
        <w:tblInd w:w="0" w:type="dxa"/>
        <w:tblLayout w:type="fixed"/>
        <w:tblCellMar>
          <w:top w:w="28" w:type="dxa"/>
          <w:left w:w="28" w:type="dxa"/>
          <w:bottom w:w="28" w:type="dxa"/>
          <w:right w:w="28" w:type="dxa"/>
        </w:tblCellMar>
      </w:tblPr>
      <w:tblGrid>
        <w:gridCol w:w="1855"/>
        <w:gridCol w:w="1573"/>
        <w:gridCol w:w="158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55"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Rockies liquids</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services and related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MVC shortfall (payments) in gathering services and related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services and related fees included in costs of goods sold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related to capital reimbursement activity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providing the below additional financial and operational details for its natural gas and other related activities within its Rockies segment (in thousands): </w:t>
      </w:r>
    </w:p>
    <w:tbl>
      <w:tblPr>
        <w:tblW w:w="10205" w:type="dxa"/>
        <w:jc w:val="left"/>
        <w:tblInd w:w="0" w:type="dxa"/>
        <w:tblLayout w:type="fixed"/>
        <w:tblCellMar>
          <w:top w:w="28" w:type="dxa"/>
          <w:left w:w="28" w:type="dxa"/>
          <w:bottom w:w="28" w:type="dxa"/>
          <w:right w:w="28" w:type="dxa"/>
        </w:tblCellMar>
      </w:tblPr>
      <w:tblGrid>
        <w:gridCol w:w="1943"/>
        <w:gridCol w:w="1686"/>
        <w:gridCol w:w="169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56"/>
      </w:tblGrid>
      <w:tr>
        <w:trPr/>
        <w:tc>
          <w:tcPr>
            <w:tcW w:w="1943"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Rockies natural gas and other</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services and related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MVC shortfall (payments) in gathering services and related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services and related fees included in costs of goods sold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related to capital reimbursement activity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i/>
          <w:color w:val="000000"/>
          <w:sz w:val="20"/>
        </w:rPr>
        <w:t>Permian.</w:t>
      </w:r>
      <w:r>
        <w:rPr>
          <w:color w:val="000000"/>
        </w:rPr>
        <w: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Volume throughput for our Permian reportable segment follow:</w:t>
      </w:r>
    </w:p>
    <w:tbl>
      <w:tblPr>
        <w:tblW w:w="10205" w:type="dxa"/>
        <w:jc w:val="left"/>
        <w:tblInd w:w="0" w:type="dxa"/>
        <w:tblLayout w:type="fixed"/>
        <w:tblCellMar>
          <w:top w:w="28" w:type="dxa"/>
          <w:left w:w="28" w:type="dxa"/>
          <w:bottom w:w="28" w:type="dxa"/>
          <w:right w:w="28" w:type="dxa"/>
        </w:tblCellMar>
      </w:tblPr>
      <w:tblGrid>
        <w:gridCol w:w="1184"/>
        <w:gridCol w:w="1042"/>
        <w:gridCol w:w="1045"/>
        <w:gridCol w:w="251"/>
        <w:gridCol w:w="242"/>
        <w:gridCol w:w="216"/>
        <w:gridCol w:w="216"/>
        <w:gridCol w:w="216"/>
        <w:gridCol w:w="216"/>
        <w:gridCol w:w="250"/>
        <w:gridCol w:w="216"/>
        <w:gridCol w:w="216"/>
        <w:gridCol w:w="109"/>
        <w:gridCol w:w="109"/>
        <w:gridCol w:w="109"/>
        <w:gridCol w:w="305"/>
        <w:gridCol w:w="305"/>
        <w:gridCol w:w="306"/>
        <w:gridCol w:w="109"/>
        <w:gridCol w:w="109"/>
        <w:gridCol w:w="109"/>
        <w:gridCol w:w="300"/>
        <w:gridCol w:w="214"/>
        <w:gridCol w:w="200"/>
        <w:gridCol w:w="200"/>
        <w:gridCol w:w="200"/>
        <w:gridCol w:w="200"/>
        <w:gridCol w:w="300"/>
        <w:gridCol w:w="214"/>
        <w:gridCol w:w="200"/>
        <w:gridCol w:w="109"/>
        <w:gridCol w:w="109"/>
        <w:gridCol w:w="109"/>
        <w:gridCol w:w="281"/>
        <w:gridCol w:w="281"/>
        <w:gridCol w:w="408"/>
      </w:tblGrid>
      <w:tr>
        <w:trPr/>
        <w:tc>
          <w:tcPr>
            <w:tcW w:w="118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4"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Permian</w:t>
            </w:r>
          </w:p>
        </w:tc>
      </w:tr>
      <w:tr>
        <w:trPr/>
        <w:tc>
          <w:tcPr>
            <w:tcW w:w="3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throughput (MMcf/d) (Double E)</w:t>
            </w:r>
          </w:p>
        </w:tc>
        <w:tc>
          <w:tcPr>
            <w:tcW w:w="4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r>
    </w:tbl>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Volume throughput for Double E increased </w:t>
      </w:r>
      <w:r>
        <w:rPr>
          <w:rFonts w:ascii="Times New Roman;serif" w:hAnsi="Times New Roman;serif"/>
          <w:b w:val="false"/>
          <w:color w:val="000000"/>
          <w:sz w:val="20"/>
        </w:rPr>
        <w:t>for the three and six months ended June 30, 2026,</w:t>
      </w:r>
      <w:r>
        <w:rPr>
          <w:color w:val="000000"/>
          <w:shd w:fill="FFFFFF" w:val="clear"/>
        </w:rPr>
        <w:t xml:space="preserve"> </w:t>
      </w:r>
      <w:r>
        <w:rPr>
          <w:rFonts w:ascii="Times New Roman;serif" w:hAnsi="Times New Roman;serif"/>
          <w:b w:val="false"/>
          <w:color w:val="000000"/>
          <w:sz w:val="20"/>
        </w:rPr>
        <w:t>compared to the three and six months ended June 30, 2025, as a result of increased throughput volumes from its customers.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MVC quantities (i) that Double E’s shippers have contracted for under firm transportation service agreements and related negotiated rate agreements and (ii) new precedent agreements for projects not yet placed in service. These precedent agreements are expected to require between $60.0 and $70.0 million of capital investment by Summit Permian Transmission, all of which is expected to be funded with the New Permian Transmission Facility.</w:t>
      </w:r>
    </w:p>
    <w:tbl>
      <w:tblPr>
        <w:tblW w:w="8814" w:type="dxa"/>
        <w:jc w:val="left"/>
        <w:tblInd w:w="0" w:type="dxa"/>
        <w:tblLayout w:type="fixed"/>
        <w:tblCellMar>
          <w:top w:w="28" w:type="dxa"/>
          <w:left w:w="28" w:type="dxa"/>
          <w:bottom w:w="28" w:type="dxa"/>
          <w:right w:w="28" w:type="dxa"/>
        </w:tblCellMar>
      </w:tblPr>
      <w:tblGrid>
        <w:gridCol w:w="613"/>
        <w:gridCol w:w="540"/>
        <w:gridCol w:w="542"/>
        <w:gridCol w:w="664"/>
        <w:gridCol w:w="664"/>
        <w:gridCol w:w="666"/>
        <w:gridCol w:w="109"/>
        <w:gridCol w:w="109"/>
        <w:gridCol w:w="109"/>
        <w:gridCol w:w="1029"/>
        <w:gridCol w:w="1029"/>
        <w:gridCol w:w="1032"/>
        <w:gridCol w:w="109"/>
        <w:gridCol w:w="109"/>
        <w:gridCol w:w="109"/>
        <w:gridCol w:w="488"/>
        <w:gridCol w:w="488"/>
        <w:gridCol w:w="405"/>
      </w:tblGrid>
      <w:tr>
        <w:trPr/>
        <w:tc>
          <w:tcPr>
            <w:tcW w:w="6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MVC’s - Active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MVC’s - Executed Precedent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MVC</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(Amounts in Dth/day)</w:t>
            </w:r>
          </w:p>
        </w:tc>
        <w:tc>
          <w:tcPr>
            <w:tcW w:w="71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MVC quantities for the year ended December 31,</w:t>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1,190,616 </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36,767 </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1,227,383 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1,265,000 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278,904 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1,543,904 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1,265,000 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477,377 </w:t>
            </w:r>
          </w:p>
        </w:tc>
        <w:tc>
          <w:tcPr>
            <w:tcW w:w="10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1,742,377 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1,214,589 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625,205 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1,839,794 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1,165,000 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640,000 </w:t>
            </w:r>
          </w:p>
        </w:tc>
        <w:tc>
          <w:tcPr>
            <w:tcW w:w="10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1,805,000 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1,034,315 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640,000 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1,674,315 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240,000 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589,727 </w:t>
            </w:r>
          </w:p>
        </w:tc>
        <w:tc>
          <w:tcPr>
            <w:tcW w:w="10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829,727 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240,000 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540,000 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780,000 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2034</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105,753 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540,000 </w:t>
            </w:r>
          </w:p>
        </w:tc>
        <w:tc>
          <w:tcPr>
            <w:tcW w:w="10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645,753 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2035</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6,466 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540,000 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546,466 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9"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Financial data for our Permian reportable segment follow:</w:t>
      </w:r>
    </w:p>
    <w:tbl>
      <w:tblPr>
        <w:tblW w:w="10205" w:type="dxa"/>
        <w:jc w:val="left"/>
        <w:tblInd w:w="0" w:type="dxa"/>
        <w:tblLayout w:type="fixed"/>
        <w:tblCellMar>
          <w:top w:w="28" w:type="dxa"/>
          <w:left w:w="28" w:type="dxa"/>
          <w:bottom w:w="28" w:type="dxa"/>
          <w:right w:w="28" w:type="dxa"/>
        </w:tblCellMar>
      </w:tblPr>
      <w:tblGrid>
        <w:gridCol w:w="1050"/>
        <w:gridCol w:w="836"/>
        <w:gridCol w:w="814"/>
        <w:gridCol w:w="214"/>
        <w:gridCol w:w="626"/>
        <w:gridCol w:w="110"/>
        <w:gridCol w:w="110"/>
        <w:gridCol w:w="110"/>
        <w:gridCol w:w="110"/>
        <w:gridCol w:w="214"/>
        <w:gridCol w:w="626"/>
        <w:gridCol w:w="110"/>
        <w:gridCol w:w="109"/>
        <w:gridCol w:w="109"/>
        <w:gridCol w:w="109"/>
        <w:gridCol w:w="305"/>
        <w:gridCol w:w="305"/>
        <w:gridCol w:w="306"/>
        <w:gridCol w:w="109"/>
        <w:gridCol w:w="109"/>
        <w:gridCol w:w="109"/>
        <w:gridCol w:w="211"/>
        <w:gridCol w:w="721"/>
        <w:gridCol w:w="109"/>
        <w:gridCol w:w="109"/>
        <w:gridCol w:w="109"/>
        <w:gridCol w:w="109"/>
        <w:gridCol w:w="211"/>
        <w:gridCol w:w="721"/>
        <w:gridCol w:w="109"/>
        <w:gridCol w:w="109"/>
        <w:gridCol w:w="109"/>
        <w:gridCol w:w="109"/>
        <w:gridCol w:w="281"/>
        <w:gridCol w:w="281"/>
        <w:gridCol w:w="407"/>
      </w:tblGrid>
      <w:tr>
        <w:trPr/>
        <w:tc>
          <w:tcPr>
            <w:tcW w:w="105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Permian</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Add:</w:t>
            </w:r>
          </w:p>
        </w:tc>
        <w:tc>
          <w:tcPr>
            <w:tcW w:w="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Proportional adjusted EBITDA for Double E</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9,364 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8,300 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bl>
    <w:p>
      <w:pPr>
        <w:pStyle w:val="TextBody"/>
        <w:bidi w:val="0"/>
        <w:spacing w:lineRule="auto" w:line="288" w:before="120" w:after="283"/>
        <w:jc w:val="left"/>
        <w:rPr/>
      </w:pPr>
      <w:r>
        <w:rPr>
          <w:rFonts w:ascii="Times New Roman;serif" w:hAnsi="Times New Roman;serif"/>
          <w:b w:val="false"/>
          <w:color w:val="000000"/>
          <w:sz w:val="20"/>
          <w:u w:val="single"/>
        </w:rPr>
        <w:t>Three and six months ended June 30, 2026</w:t>
      </w:r>
      <w:r>
        <w:rPr>
          <w:rFonts w:ascii="Times New Roman;serif" w:hAnsi="Times New Roman;serif"/>
          <w:b w:val="false"/>
          <w:color w:val="000000"/>
          <w:sz w:val="20"/>
        </w:rPr>
        <w:t xml:space="preserve">. Segment adjusted EBITDA increased $1.1 million and </w:t>
      </w:r>
      <w:r>
        <w:rPr>
          <w:color w:val="FF0000"/>
        </w:rPr>
        <w:t> </w:t>
      </w:r>
      <w:r>
        <w:rPr>
          <w:rFonts w:ascii="Times New Roman;serif" w:hAnsi="Times New Roman;serif"/>
          <w:b w:val="false"/>
          <w:color w:val="000000"/>
          <w:sz w:val="20"/>
        </w:rPr>
        <w:t xml:space="preserve">$1.5 million, respectively, compared to the three and six months ended June 30, 2025, primarily as a result of an increase in proportional adjusted EBITDA from our equity method investment in Double 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40"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pPr>
      <w:r>
        <w:rPr>
          <w:rFonts w:ascii="Times New Roman;serif" w:hAnsi="Times New Roman;serif"/>
          <w:b/>
          <w:i/>
          <w:color w:val="000000"/>
          <w:sz w:val="20"/>
        </w:rPr>
        <w:t>Mid-Con.</w:t>
      </w:r>
      <w:r>
        <w:rPr>
          <w:color w:val="000000"/>
        </w:rPr>
        <w: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Volume throughput for our Mid-Con reportable segment follow:</w:t>
      </w:r>
    </w:p>
    <w:tbl>
      <w:tblPr>
        <w:tblW w:w="10205" w:type="dxa"/>
        <w:jc w:val="left"/>
        <w:tblInd w:w="0" w:type="dxa"/>
        <w:tblLayout w:type="fixed"/>
        <w:tblCellMar>
          <w:top w:w="28" w:type="dxa"/>
          <w:left w:w="28" w:type="dxa"/>
          <w:bottom w:w="28" w:type="dxa"/>
          <w:right w:w="28" w:type="dxa"/>
        </w:tblCellMar>
      </w:tblPr>
      <w:tblGrid>
        <w:gridCol w:w="1069"/>
        <w:gridCol w:w="942"/>
        <w:gridCol w:w="943"/>
        <w:gridCol w:w="251"/>
        <w:gridCol w:w="249"/>
        <w:gridCol w:w="243"/>
        <w:gridCol w:w="243"/>
        <w:gridCol w:w="243"/>
        <w:gridCol w:w="243"/>
        <w:gridCol w:w="251"/>
        <w:gridCol w:w="249"/>
        <w:gridCol w:w="243"/>
        <w:gridCol w:w="109"/>
        <w:gridCol w:w="109"/>
        <w:gridCol w:w="109"/>
        <w:gridCol w:w="305"/>
        <w:gridCol w:w="305"/>
        <w:gridCol w:w="306"/>
        <w:gridCol w:w="109"/>
        <w:gridCol w:w="109"/>
        <w:gridCol w:w="109"/>
        <w:gridCol w:w="300"/>
        <w:gridCol w:w="226"/>
        <w:gridCol w:w="223"/>
        <w:gridCol w:w="223"/>
        <w:gridCol w:w="223"/>
        <w:gridCol w:w="223"/>
        <w:gridCol w:w="300"/>
        <w:gridCol w:w="226"/>
        <w:gridCol w:w="223"/>
        <w:gridCol w:w="109"/>
        <w:gridCol w:w="109"/>
        <w:gridCol w:w="109"/>
        <w:gridCol w:w="281"/>
        <w:gridCol w:w="281"/>
        <w:gridCol w:w="410"/>
      </w:tblGrid>
      <w:tr>
        <w:trPr/>
        <w:tc>
          <w:tcPr>
            <w:tcW w:w="106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Mid-Con</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throughput (MMcf/d)</w:t>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bl>
    <w:p>
      <w:pPr>
        <w:pStyle w:val="TextBody"/>
        <w:bidi w:val="0"/>
        <w:spacing w:lineRule="auto" w:line="288" w:before="120" w:after="283"/>
        <w:jc w:val="left"/>
        <w:rPr/>
      </w:pPr>
      <w:r>
        <w:rPr>
          <w:rFonts w:ascii="Times New Roman;serif" w:hAnsi="Times New Roman;serif"/>
          <w:b w:val="false"/>
          <w:color w:val="000000"/>
          <w:sz w:val="20"/>
        </w:rPr>
        <w:t>Volume throughput increased for the three and six months ended June 30, 2026,</w:t>
      </w:r>
      <w:r>
        <w:rPr>
          <w:color w:val="000000"/>
          <w:shd w:fill="FFFFFF" w:val="clear"/>
        </w:rPr>
        <w:t xml:space="preserve"> </w:t>
      </w:r>
      <w:r>
        <w:rPr>
          <w:rFonts w:ascii="Times New Roman;serif" w:hAnsi="Times New Roman;serif"/>
          <w:b w:val="false"/>
          <w:color w:val="000000"/>
          <w:sz w:val="20"/>
        </w:rPr>
        <w:t>compared to the three and six months ended June 30, 2025,</w:t>
      </w:r>
      <w:r>
        <w:rPr>
          <w:color w:val="000000"/>
          <w:shd w:fill="FFFFFF" w:val="clear"/>
        </w:rPr>
        <w:t xml:space="preserve"> </w:t>
      </w:r>
      <w:r>
        <w:rPr>
          <w:rFonts w:ascii="Times New Roman;serif" w:hAnsi="Times New Roman;serif"/>
          <w:b w:val="false"/>
          <w:color w:val="000000"/>
          <w:sz w:val="20"/>
        </w:rPr>
        <w:t>primarily as a result of 44 new well connections that came online subsequent to June 30, 2025, partially offset by natural production declines.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Financial data for our Mid-Con reportable segment follow:</w:t>
      </w:r>
    </w:p>
    <w:tbl>
      <w:tblPr>
        <w:tblW w:w="10205" w:type="dxa"/>
        <w:jc w:val="left"/>
        <w:tblInd w:w="0" w:type="dxa"/>
        <w:tblLayout w:type="fixed"/>
        <w:tblCellMar>
          <w:top w:w="28" w:type="dxa"/>
          <w:left w:w="28" w:type="dxa"/>
          <w:bottom w:w="28" w:type="dxa"/>
          <w:right w:w="28" w:type="dxa"/>
        </w:tblCellMar>
      </w:tblPr>
      <w:tblGrid>
        <w:gridCol w:w="1074"/>
        <w:gridCol w:w="724"/>
        <w:gridCol w:w="729"/>
        <w:gridCol w:w="211"/>
        <w:gridCol w:w="721"/>
        <w:gridCol w:w="109"/>
        <w:gridCol w:w="109"/>
        <w:gridCol w:w="109"/>
        <w:gridCol w:w="109"/>
        <w:gridCol w:w="211"/>
        <w:gridCol w:w="721"/>
        <w:gridCol w:w="109"/>
        <w:gridCol w:w="109"/>
        <w:gridCol w:w="109"/>
        <w:gridCol w:w="109"/>
        <w:gridCol w:w="305"/>
        <w:gridCol w:w="305"/>
        <w:gridCol w:w="306"/>
        <w:gridCol w:w="109"/>
        <w:gridCol w:w="109"/>
        <w:gridCol w:w="109"/>
        <w:gridCol w:w="211"/>
        <w:gridCol w:w="721"/>
        <w:gridCol w:w="109"/>
        <w:gridCol w:w="109"/>
        <w:gridCol w:w="109"/>
        <w:gridCol w:w="109"/>
        <w:gridCol w:w="211"/>
        <w:gridCol w:w="721"/>
        <w:gridCol w:w="109"/>
        <w:gridCol w:w="109"/>
        <w:gridCol w:w="109"/>
        <w:gridCol w:w="109"/>
        <w:gridCol w:w="281"/>
        <w:gridCol w:w="281"/>
        <w:gridCol w:w="401"/>
      </w:tblGrid>
      <w:tr>
        <w:trPr/>
        <w:tc>
          <w:tcPr>
            <w:tcW w:w="107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8"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Mid-Con</w:t>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services and related fees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NGLs and condensate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revenues </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natural gas and NGLs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 and maintenance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Depreciation and amortization </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Integration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Add:</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Depreciation and amortization </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Integration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related to capital reimbursement activity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w:t>
      </w:r>
    </w:p>
    <w:p>
      <w:pPr>
        <w:pStyle w:val="TextBody"/>
        <w:bidi w:val="0"/>
        <w:spacing w:lineRule="auto" w:line="288" w:before="0" w:after="6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Includes the amortization expense associated with our favorable gas gathering contracts as reported in Other revenues.</w:t>
      </w:r>
    </w:p>
    <w:p>
      <w:pPr>
        <w:pStyle w:val="TextBody"/>
        <w:bidi w:val="0"/>
        <w:spacing w:lineRule="auto" w:line="288" w:before="120" w:after="283"/>
        <w:jc w:val="left"/>
        <w:rPr/>
      </w:pPr>
      <w:r>
        <w:rPr>
          <w:rFonts w:ascii="Times New Roman;serif" w:hAnsi="Times New Roman;serif"/>
          <w:b w:val="false"/>
          <w:color w:val="000000"/>
          <w:sz w:val="20"/>
          <w:u w:val="single"/>
        </w:rPr>
        <w:t>Three and six months ended June 30, 2026</w:t>
      </w:r>
      <w:r>
        <w:rPr>
          <w:rFonts w:ascii="Times New Roman;serif" w:hAnsi="Times New Roman;serif"/>
          <w:b w:val="false"/>
          <w:color w:val="000000"/>
          <w:sz w:val="20"/>
        </w:rPr>
        <w:t>. Segment adjusted EBITDA decreased $3.5 million and $6.7 million, respectively, compared to the three and six months ended June 30, 2025, primarily as a result of reduced natural gas and condensate sales as well as increased operations and maintenance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41"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Piceance.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Volume throughput for our Piceance reportable segment follow:</w:t>
      </w:r>
    </w:p>
    <w:tbl>
      <w:tblPr>
        <w:tblW w:w="10205" w:type="dxa"/>
        <w:jc w:val="left"/>
        <w:tblInd w:w="0" w:type="dxa"/>
        <w:tblLayout w:type="fixed"/>
        <w:tblCellMar>
          <w:top w:w="28" w:type="dxa"/>
          <w:left w:w="28" w:type="dxa"/>
          <w:bottom w:w="28" w:type="dxa"/>
          <w:right w:w="28" w:type="dxa"/>
        </w:tblCellMar>
      </w:tblPr>
      <w:tblGrid>
        <w:gridCol w:w="1169"/>
        <w:gridCol w:w="1029"/>
        <w:gridCol w:w="1032"/>
        <w:gridCol w:w="251"/>
        <w:gridCol w:w="242"/>
        <w:gridCol w:w="217"/>
        <w:gridCol w:w="217"/>
        <w:gridCol w:w="217"/>
        <w:gridCol w:w="217"/>
        <w:gridCol w:w="251"/>
        <w:gridCol w:w="242"/>
        <w:gridCol w:w="217"/>
        <w:gridCol w:w="109"/>
        <w:gridCol w:w="109"/>
        <w:gridCol w:w="109"/>
        <w:gridCol w:w="305"/>
        <w:gridCol w:w="305"/>
        <w:gridCol w:w="306"/>
        <w:gridCol w:w="109"/>
        <w:gridCol w:w="109"/>
        <w:gridCol w:w="109"/>
        <w:gridCol w:w="300"/>
        <w:gridCol w:w="215"/>
        <w:gridCol w:w="201"/>
        <w:gridCol w:w="201"/>
        <w:gridCol w:w="201"/>
        <w:gridCol w:w="201"/>
        <w:gridCol w:w="300"/>
        <w:gridCol w:w="215"/>
        <w:gridCol w:w="201"/>
        <w:gridCol w:w="109"/>
        <w:gridCol w:w="109"/>
        <w:gridCol w:w="109"/>
        <w:gridCol w:w="281"/>
        <w:gridCol w:w="281"/>
        <w:gridCol w:w="410"/>
      </w:tblGrid>
      <w:tr>
        <w:trPr/>
        <w:tc>
          <w:tcPr>
            <w:tcW w:w="116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5"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Piceance</w:t>
            </w:r>
          </w:p>
        </w:tc>
      </w:tr>
      <w:tr>
        <w:trPr/>
        <w:tc>
          <w:tcPr>
            <w:tcW w:w="3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3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average daily throughput (MMcf/d)</w:t>
            </w:r>
          </w:p>
        </w:tc>
        <w:tc>
          <w:tcPr>
            <w:tcW w:w="4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r>
    </w:tbl>
    <w:p>
      <w:pPr>
        <w:pStyle w:val="TextBody"/>
        <w:bidi w:val="0"/>
        <w:spacing w:lineRule="auto" w:line="288" w:before="120" w:after="283"/>
        <w:jc w:val="left"/>
        <w:rPr/>
      </w:pPr>
      <w:r>
        <w:rPr>
          <w:rFonts w:ascii="Times New Roman;serif" w:hAnsi="Times New Roman;serif"/>
          <w:b w:val="false"/>
          <w:color w:val="000000"/>
          <w:sz w:val="20"/>
        </w:rPr>
        <w:t>Volume throughput decreased for the three and six months ended June 30, 2026,</w:t>
      </w:r>
      <w:r>
        <w:rPr>
          <w:color w:val="000000"/>
          <w:shd w:fill="FFFFFF" w:val="clear"/>
        </w:rPr>
        <w:t xml:space="preserve"> </w:t>
      </w:r>
      <w:r>
        <w:rPr>
          <w:rFonts w:ascii="Times New Roman;serif" w:hAnsi="Times New Roman;serif"/>
          <w:b w:val="false"/>
          <w:color w:val="000000"/>
          <w:sz w:val="20"/>
        </w:rPr>
        <w:t>compared to the three and six months ended June 30, 2025,</w:t>
      </w:r>
      <w:r>
        <w:rPr>
          <w:color w:val="000000"/>
          <w:shd w:fill="FFFFFF" w:val="clear"/>
        </w:rPr>
        <w:t xml:space="preserve"> </w:t>
      </w:r>
      <w:r>
        <w:rPr>
          <w:rFonts w:ascii="Times New Roman;serif" w:hAnsi="Times New Roman;serif"/>
          <w:b w:val="false"/>
          <w:color w:val="000000"/>
          <w:sz w:val="20"/>
        </w:rPr>
        <w:t>primarily as a result of natural production declines. In addition, throughput volumes were negatively impacted by producer shut-ins, which reduced volumes by approximately 12 MMcf/d and 10 MMcf/d during the three and six months ended June 30, 2026,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Financial data for our Piceance reportable segment follow:</w:t>
      </w:r>
    </w:p>
    <w:tbl>
      <w:tblPr>
        <w:tblW w:w="10205" w:type="dxa"/>
        <w:jc w:val="left"/>
        <w:tblInd w:w="0" w:type="dxa"/>
        <w:tblLayout w:type="fixed"/>
        <w:tblCellMar>
          <w:top w:w="28" w:type="dxa"/>
          <w:left w:w="28" w:type="dxa"/>
          <w:bottom w:w="28" w:type="dxa"/>
          <w:right w:w="28" w:type="dxa"/>
        </w:tblCellMar>
      </w:tblPr>
      <w:tblGrid>
        <w:gridCol w:w="1074"/>
        <w:gridCol w:w="724"/>
        <w:gridCol w:w="729"/>
        <w:gridCol w:w="211"/>
        <w:gridCol w:w="721"/>
        <w:gridCol w:w="109"/>
        <w:gridCol w:w="109"/>
        <w:gridCol w:w="109"/>
        <w:gridCol w:w="109"/>
        <w:gridCol w:w="211"/>
        <w:gridCol w:w="721"/>
        <w:gridCol w:w="109"/>
        <w:gridCol w:w="109"/>
        <w:gridCol w:w="109"/>
        <w:gridCol w:w="109"/>
        <w:gridCol w:w="305"/>
        <w:gridCol w:w="305"/>
        <w:gridCol w:w="306"/>
        <w:gridCol w:w="109"/>
        <w:gridCol w:w="109"/>
        <w:gridCol w:w="109"/>
        <w:gridCol w:w="211"/>
        <w:gridCol w:w="721"/>
        <w:gridCol w:w="109"/>
        <w:gridCol w:w="109"/>
        <w:gridCol w:w="109"/>
        <w:gridCol w:w="109"/>
        <w:gridCol w:w="211"/>
        <w:gridCol w:w="721"/>
        <w:gridCol w:w="109"/>
        <w:gridCol w:w="109"/>
        <w:gridCol w:w="109"/>
        <w:gridCol w:w="109"/>
        <w:gridCol w:w="281"/>
        <w:gridCol w:w="281"/>
        <w:gridCol w:w="401"/>
      </w:tblGrid>
      <w:tr>
        <w:trPr/>
        <w:tc>
          <w:tcPr>
            <w:tcW w:w="107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8"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Piceance</w:t>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services and related fees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Natural gas, NGLs and condensate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natural gas and NGLs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 and maintenance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asset sales,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Add:</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related to capital reimbursement activity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asset sales,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*Not considered meaningful</w:t>
      </w:r>
    </w:p>
    <w:p>
      <w:pPr>
        <w:pStyle w:val="TextBody"/>
        <w:bidi w:val="0"/>
        <w:spacing w:lineRule="auto" w:line="288" w:before="120" w:after="283"/>
        <w:jc w:val="left"/>
        <w:rPr/>
      </w:pPr>
      <w:r>
        <w:rPr>
          <w:rFonts w:ascii="Times New Roman;serif" w:hAnsi="Times New Roman;serif"/>
          <w:b w:val="false"/>
          <w:color w:val="000000"/>
          <w:sz w:val="20"/>
          <w:u w:val="single"/>
        </w:rPr>
        <w:t>Three and six months ended June 30, 2026</w:t>
      </w:r>
      <w:r>
        <w:rPr>
          <w:rFonts w:ascii="Times New Roman;serif" w:hAnsi="Times New Roman;serif"/>
          <w:b w:val="false"/>
          <w:color w:val="000000"/>
          <w:sz w:val="20"/>
        </w:rPr>
        <w:t xml:space="preserve">. Segment adjusted EBITDA decreased $1.8 million and $4.0 million, respectively, compared to the three and six months ended June 30, 2025 primarily as a result of lower volume throughput discussed above, partially offset by lower operations and maintenance expense.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42"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Corporate and Other Overview for the Three and Six Months Ended June 30, 2026 and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 represents those results that are not specifically attributable to a reportable segment or that have not been allocated to our reportable segments, including certain general and administrative expense items, transaction costs, acquisition integration costs, and interest expense. Corporate and Other includes intercompany eliminations.</w:t>
      </w:r>
    </w:p>
    <w:tbl>
      <w:tblPr>
        <w:tblW w:w="10151" w:type="dxa"/>
        <w:jc w:val="left"/>
        <w:tblInd w:w="0" w:type="dxa"/>
        <w:tblLayout w:type="fixed"/>
        <w:tblCellMar>
          <w:top w:w="28" w:type="dxa"/>
          <w:left w:w="28" w:type="dxa"/>
          <w:bottom w:w="28" w:type="dxa"/>
          <w:right w:w="28" w:type="dxa"/>
        </w:tblCellMar>
      </w:tblPr>
      <w:tblGrid>
        <w:gridCol w:w="897"/>
        <w:gridCol w:w="786"/>
        <w:gridCol w:w="792"/>
        <w:gridCol w:w="211"/>
        <w:gridCol w:w="721"/>
        <w:gridCol w:w="109"/>
        <w:gridCol w:w="109"/>
        <w:gridCol w:w="109"/>
        <w:gridCol w:w="109"/>
        <w:gridCol w:w="211"/>
        <w:gridCol w:w="721"/>
        <w:gridCol w:w="109"/>
        <w:gridCol w:w="109"/>
        <w:gridCol w:w="109"/>
        <w:gridCol w:w="109"/>
        <w:gridCol w:w="305"/>
        <w:gridCol w:w="305"/>
        <w:gridCol w:w="306"/>
        <w:gridCol w:w="109"/>
        <w:gridCol w:w="109"/>
        <w:gridCol w:w="109"/>
        <w:gridCol w:w="211"/>
        <w:gridCol w:w="721"/>
        <w:gridCol w:w="109"/>
        <w:gridCol w:w="109"/>
        <w:gridCol w:w="109"/>
        <w:gridCol w:w="109"/>
        <w:gridCol w:w="211"/>
        <w:gridCol w:w="721"/>
        <w:gridCol w:w="109"/>
        <w:gridCol w:w="109"/>
        <w:gridCol w:w="109"/>
        <w:gridCol w:w="109"/>
        <w:gridCol w:w="281"/>
        <w:gridCol w:w="281"/>
        <w:gridCol w:w="399"/>
      </w:tblGrid>
      <w:tr>
        <w:trPr/>
        <w:tc>
          <w:tcPr>
            <w:tcW w:w="89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Other</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integration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r>
    </w:tbl>
    <w:p>
      <w:pPr>
        <w:pStyle w:val="TextBody"/>
        <w:bidi w:val="0"/>
        <w:spacing w:before="0" w:after="0"/>
        <w:jc w:val="left"/>
        <w:rPr/>
      </w:pPr>
      <w:r>
        <w:rPr/>
      </w:r>
    </w:p>
    <w:p>
      <w:pPr>
        <w:pStyle w:val="TextBody"/>
        <w:bidi w:val="0"/>
        <w:spacing w:lineRule="auto" w:line="288" w:before="120" w:after="283"/>
        <w:jc w:val="left"/>
        <w:rPr/>
      </w:pPr>
      <w:r>
        <w:rPr>
          <w:rFonts w:ascii="Times New Roman;serif" w:hAnsi="Times New Roman;serif"/>
          <w:b w:val="false"/>
          <w:color w:val="000000"/>
          <w:sz w:val="20"/>
          <w:u w:val="single"/>
        </w:rPr>
        <w:t>General and administrative</w:t>
      </w:r>
      <w:r>
        <w:rPr>
          <w:rFonts w:ascii="Times New Roman;serif" w:hAnsi="Times New Roman;serif"/>
          <w:b w:val="false"/>
          <w:color w:val="000000"/>
          <w:sz w:val="20"/>
        </w:rPr>
        <w:t>. For the three months ended June 30, 2026, general and administrative expenses attributable to Corporate and Other decreased by $1.2 million compared to the three months ended June 30, 2025, primarily due to the absence of $1.5 million of severance expense incurred during 2025. For the three months ended June 30, 2026 and 2025, general and administrative expenses included $2.3 million and $2.4 million, respectively, of noncash stock-based compensation.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attributable to Corporate and Other decreased by $2.5 million for the six months ended June 30, 2026, compared to the six months ended June 30, 2025, primarily due to the absence of $1.5 million of severance expense incurred during 2025 and lower professional and legal expenses in 2026, partially offset by increased compensation and benefits expense. For the six months ended June 30, 2026 and 2025, general and administrative expenses included $5.3 million and $4.7 million of noncash stock-based compensation, respectively. </w:t>
      </w:r>
    </w:p>
    <w:p>
      <w:pPr>
        <w:pStyle w:val="TextBody"/>
        <w:bidi w:val="0"/>
        <w:spacing w:lineRule="auto" w:line="288" w:before="120" w:after="283"/>
        <w:jc w:val="left"/>
        <w:rPr/>
      </w:pPr>
      <w:r>
        <w:rPr>
          <w:rFonts w:ascii="Times New Roman;serif" w:hAnsi="Times New Roman;serif"/>
          <w:b w:val="false"/>
          <w:color w:val="000000"/>
          <w:sz w:val="20"/>
          <w:u w:val="single"/>
        </w:rPr>
        <w:t>Transaction costs.</w:t>
      </w:r>
      <w:r>
        <w:rPr>
          <w:color w:val="000000"/>
        </w:rPr>
        <w:t xml:space="preserve"> </w:t>
      </w:r>
      <w:r>
        <w:rPr>
          <w:rFonts w:ascii="Times New Roman;serif" w:hAnsi="Times New Roman;serif"/>
          <w:b w:val="false"/>
          <w:color w:val="000000"/>
          <w:sz w:val="20"/>
        </w:rPr>
        <w:t xml:space="preserve">Transaction costs incurred during 2025 were primarily related to the Moonrise Acquisition and the Tall Oak Acquisition. </w:t>
      </w:r>
    </w:p>
    <w:p>
      <w:pPr>
        <w:pStyle w:val="TextBody"/>
        <w:bidi w:val="0"/>
        <w:spacing w:lineRule="auto" w:line="288" w:before="120" w:after="283"/>
        <w:jc w:val="left"/>
        <w:rPr/>
      </w:pPr>
      <w:r>
        <w:rPr>
          <w:rFonts w:ascii="Times New Roman;serif" w:hAnsi="Times New Roman;serif"/>
          <w:b w:val="false"/>
          <w:color w:val="000000"/>
          <w:sz w:val="20"/>
          <w:u w:val="single"/>
        </w:rPr>
        <w:t>Acquisition integration costs.</w:t>
      </w:r>
      <w:r>
        <w:rPr>
          <w:color w:val="000000"/>
        </w:rPr>
        <w:t xml:space="preserve"> </w:t>
      </w:r>
      <w:r>
        <w:rPr>
          <w:rFonts w:ascii="Times New Roman;serif" w:hAnsi="Times New Roman;serif"/>
          <w:b w:val="false"/>
          <w:color w:val="000000"/>
          <w:sz w:val="20"/>
        </w:rPr>
        <w:t xml:space="preserve">Acquisition and integration costs incurred during 2025 were primarily related to fees paid to third-party service providers to integrate the Tall Oak Acquisition and the Moonrise Acquisition into the Company’s operational platform. </w:t>
      </w:r>
    </w:p>
    <w:p>
      <w:pPr>
        <w:pStyle w:val="TextBody"/>
        <w:bidi w:val="0"/>
        <w:spacing w:lineRule="auto" w:line="288" w:before="120" w:after="283"/>
        <w:jc w:val="left"/>
        <w:rPr/>
      </w:pPr>
      <w:r>
        <w:rPr>
          <w:rFonts w:ascii="Times New Roman;serif" w:hAnsi="Times New Roman;serif"/>
          <w:b w:val="false"/>
          <w:color w:val="000000"/>
          <w:sz w:val="20"/>
          <w:u w:val="single"/>
        </w:rPr>
        <w:t>Interest Expense</w:t>
      </w:r>
      <w:r>
        <w:rPr>
          <w:rFonts w:ascii="Times New Roman;serif" w:hAnsi="Times New Roman;serif"/>
          <w:b w:val="false"/>
          <w:color w:val="000000"/>
          <w:sz w:val="20"/>
        </w:rPr>
        <w:t>. Interest expense increased by $3.5 million for the three months ended June 30, 2026, compared to the three months ended June 30, 2025, primarily related to $4.5 million of increased interest expense associated with the Permian Transmission credit facilities, partially offset by $1.1 million of decreased interest expense associated with the Amended and Restated ABL Facility.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increased $6.0 million for the six months ended June 30, 2026, compared to the six months ended June 30, 2025, primarily related to $4.4 million of increased interest expense associated with the Permian Transmission credit facilities and $1.8 million of increased debt issuance cost amortization, primarily related to the first quarter 2026 write-off of the remaining unamortized debt issuance costs on the Legacy Permian Transmission Credit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How We Evaluate Our Operations</w:t>
      </w:r>
    </w:p>
    <w:p>
      <w:pPr>
        <w:pStyle w:val="TextBody"/>
        <w:bidi w:val="0"/>
        <w:spacing w:lineRule="auto" w:line="288" w:before="120" w:after="283"/>
        <w:jc w:val="left"/>
        <w:rPr/>
      </w:pPr>
      <w:r>
        <w:rPr>
          <w:rFonts w:ascii="Times New Roman;serif" w:hAnsi="Times New Roman;serif"/>
          <w:b w:val="false"/>
          <w:color w:val="000000"/>
          <w:sz w:val="20"/>
        </w:rPr>
        <w:t>We currently conduct and report our operations in the midstream energy industry through four reportable segments: Rockies, Permian, Mid-Con, and Piceance. Each of our reportable segments provides midstream services in a specific geographic area and our reportable segments reflect the way in which we internally report the financial information used to make decisions and allocate resources in connection with our operations (See</w:t>
      </w:r>
      <w:r>
        <w:rPr>
          <w:color w:val="000000"/>
        </w:rPr>
        <w:t xml:space="preserve"> </w:t>
      </w:r>
      <w:r>
        <w:rPr>
          <w:rFonts w:ascii="Times New Roman;serif" w:hAnsi="Times New Roman;serif"/>
          <w:b w:val="false"/>
          <w:i/>
          <w:color w:val="000000"/>
          <w:sz w:val="20"/>
        </w:rPr>
        <w:t>Note 16 - Segment Information</w:t>
      </w:r>
      <w:r>
        <w:rPr>
          <w:color w:val="000000"/>
        </w:rPr>
        <w:t xml:space="preserve"> </w:t>
      </w:r>
      <w:r>
        <w:rPr>
          <w:rFonts w:ascii="Times New Roman;serif" w:hAnsi="Times New Roman;serif"/>
          <w:b w:val="false"/>
          <w:color w:val="000000"/>
          <w:sz w:val="20"/>
        </w:rPr>
        <w:t>to the consolidated financial statements). Our management uses a variety of financial and operational metrics to analyze our consolidated and segment performance, and we view these metrics as important factors in evaluating our profitability. These metrics include (i) throughput volume, (ii) revenues, (iii) operation and maintenance expenses, (iv) capital expenditures, and (v) segment adjusted EBITDA.</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review these metrics on a regular basis for consistency and trend analysis. There have been no changes in the composition or characteristics of these metrics during the three and six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43"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pPr>
      <w:r>
        <w:rPr>
          <w:rFonts w:ascii="Times New Roman;serif" w:hAnsi="Times New Roman;serif"/>
          <w:b/>
          <w:i/>
          <w:color w:val="000000"/>
          <w:sz w:val="20"/>
        </w:rPr>
        <w:t xml:space="preserve">Summit Midstream Corporation Tax Structure. </w:t>
      </w:r>
      <w:r>
        <w:rPr>
          <w:rFonts w:ascii="Times New Roman;serif" w:hAnsi="Times New Roman;serif"/>
          <w:b w:val="false"/>
          <w:color w:val="000000"/>
          <w:sz w:val="20"/>
        </w:rPr>
        <w:t xml:space="preserve">We operate the Company in an Up-C tax structure whereby the Company owned approximately 68% of SMLP as of June 30, 2026 and Tall Oak Parent owned the remaining 32% of SMLP as a noncontrolling interest. If on June 30, 2026, Tall Oak Parent converted their 6.5 million SMLP Partnership Common Units and 6.5 million Class B shares for the Company’s common stock, the following adjustments would occur to the Company’s balance sheet and common shares outstanding. </w:t>
      </w:r>
    </w:p>
    <w:tbl>
      <w:tblPr>
        <w:tblW w:w="8607" w:type="dxa"/>
        <w:jc w:val="left"/>
        <w:tblInd w:w="0" w:type="dxa"/>
        <w:tblLayout w:type="fixed"/>
        <w:tblCellMar>
          <w:top w:w="28" w:type="dxa"/>
          <w:left w:w="28" w:type="dxa"/>
          <w:bottom w:w="28" w:type="dxa"/>
          <w:right w:w="28" w:type="dxa"/>
        </w:tblCellMar>
      </w:tblPr>
      <w:tblGrid>
        <w:gridCol w:w="933"/>
        <w:gridCol w:w="821"/>
        <w:gridCol w:w="826"/>
        <w:gridCol w:w="109"/>
        <w:gridCol w:w="109"/>
        <w:gridCol w:w="109"/>
        <w:gridCol w:w="211"/>
        <w:gridCol w:w="976"/>
        <w:gridCol w:w="109"/>
        <w:gridCol w:w="109"/>
        <w:gridCol w:w="109"/>
        <w:gridCol w:w="109"/>
        <w:gridCol w:w="645"/>
        <w:gridCol w:w="1241"/>
        <w:gridCol w:w="334"/>
        <w:gridCol w:w="109"/>
        <w:gridCol w:w="109"/>
        <w:gridCol w:w="109"/>
        <w:gridCol w:w="240"/>
        <w:gridCol w:w="1115"/>
        <w:gridCol w:w="175"/>
      </w:tblGrid>
      <w:tr>
        <w:trPr/>
        <w:tc>
          <w:tcPr>
            <w:tcW w:w="93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Hypothetical Conversion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Post Conversion</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2,407,380 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2,407,380 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Share Summary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Hypothetical Conversion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Post Conversion</w:t>
            </w:r>
          </w:p>
        </w:tc>
      </w:tr>
      <w:tr>
        <w:trPr/>
        <w:tc>
          <w:tcPr>
            <w:tcW w:w="2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13,782,960 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6,524,467 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20,307,427 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6,524,467 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(6,524,467)</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i/>
          <w:color w:val="000000"/>
          <w:sz w:val="20"/>
        </w:rPr>
        <w:t>Additional Information.</w:t>
      </w:r>
      <w:r>
        <w:rPr>
          <w:color w:val="000000"/>
        </w:rPr>
        <w:t> </w:t>
      </w:r>
      <w:r>
        <w:rPr>
          <w:rFonts w:ascii="Times New Roman;serif" w:hAnsi="Times New Roman;serif"/>
          <w:b w:val="false"/>
          <w:color w:val="000000"/>
          <w:sz w:val="20"/>
        </w:rPr>
        <w:t xml:space="preserve">For additional information, see the “Results of Operations” section herein and the notes to the unaudited condensed consolidated financial statements. For additional information on how these metrics help us manage our business, see the “How We Evaluate Our Operations” section of MD&amp;A included in the 2025 Annual Report. For information on impending accounting changes that are expected to materially impact our financial results reported in future periods. (See </w:t>
      </w:r>
      <w:r>
        <w:rPr>
          <w:rFonts w:ascii="Times New Roman;serif" w:hAnsi="Times New Roman;serif"/>
          <w:b w:val="false"/>
          <w:i/>
          <w:color w:val="000000"/>
          <w:sz w:val="20"/>
        </w:rPr>
        <w:t xml:space="preserve">2 - Summary of Significant Accounting Policies and Recently Issued Accounting Standards Applicable to the Company </w:t>
      </w:r>
      <w:r>
        <w:rPr>
          <w:rFonts w:ascii="Times New Roman;serif" w:hAnsi="Times New Roman;serif"/>
          <w:b w:val="false"/>
          <w:color w:val="000000"/>
          <w:sz w:val="20"/>
        </w:rPr>
        <w:t>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Liquidity and Capital Resources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rely primarily on internally generated cash flows as well as our current cash balance and external financing sources, including commercial bank borrowings, and the issuance of debt, equity, and preferred equity securities, and proceeds from potential asset divestitures to fund our capital expenditures. We believe that our Amended and Restated ABL Facility and New Permian Transmission Facility, together with internally generated cash flows, current cash balance and access to debt or equity capital markets, will be adequate to finance our operations for the next twelve months, and based on current expectations, the long-term, without adversely impacting our liquidity.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may enter into off-balance sheet arrangements and transactions that can give rise to material off-balance sheet obligations. As of June 30, 2026, our material off-balance sheet arrangements and transactions include (i) letters of credit outstanding against our Amended and Restated ABL Facility aggregating to $2.7 million, and (ii) letters of credit outstanding against our New Permian Transmission Facility aggregating to $7.0 million. There are no other transactions, arrangements or other relationships with unconsolidated entities or other persons that are reasonably likely to materially affect our liquidity or availability of our capital resources.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2026, our Board of Directors authorized the Share Repurchase Program to repurchase up to $35.0 million of our outstanding common stock. Under the Share Repurchase Program, repurchases of shares of our common stock may be made from time to time in the open market, through privately negotiated transactions, block purchases, or otherwise, including through a Rule 10b5-1 trading plan, in compliance with applicable federal and state securities laws, including Rule 10b-18 under the Securities Exchange Act of 1934, as amended. The timing and amount of any repurchases will be determined by management at its discretion based on a variety of factors, including business and market conditions, the trading price of our common stock, compliance with debt covenants, and certain other considerations. The Share Repurchase Program does not obligate us to repurchase any specific number of shares, has no fixed expiration date, and may be suspended or discontinued at any time.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in compliance with all covenants contained in the indenture governing the 2029 Secured Notes, the Amended and Restated ABL Facility and the New Permian Transmission Facility. The Amended and Restated ABL Facility requires that Summit Holdings not permit (i) the First Lien Net Leverage Ratio (as defined in the Amended and Restated ABL Agreement) as of the last day of any fiscal quarter to be greater than 2.50:1.00, or (ii) the Interest Coverage Ratio (as defined in the Amended and Restated ABL Agreement) as of the last day of any fiscal quarter to be less than 2.00:1.00. As of June 30, 2026, the First Lien Net Leverage Ratio (as defined in the Amended and Restated ABL Agreement) and the Interest Coverage Ratio were 0.29:1.00 and 2.73:1.00,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44" name="Frame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pPr>
      <w:r>
        <w:rPr>
          <w:rFonts w:ascii="Times New Roman;serif" w:hAnsi="Times New Roman;serif"/>
          <w:b/>
          <w:i/>
          <w:color w:val="000000"/>
          <w:sz w:val="20"/>
        </w:rPr>
        <w:t>Amended and Restated ABL Facility.</w:t>
      </w:r>
      <w:r>
        <w:rPr>
          <w:color w:val="000000"/>
        </w:rPr>
        <w:t xml:space="preserve"> </w:t>
      </w:r>
      <w:r>
        <w:rPr>
          <w:rFonts w:ascii="Times New Roman;serif" w:hAnsi="Times New Roman;serif"/>
          <w:b w:val="false"/>
          <w:color w:val="000000"/>
          <w:sz w:val="20"/>
        </w:rPr>
        <w:t>As of June 30, 2026, the Amended and Restated ABL Facility will mature on the earliest of (a) July 26, 2029, (b) July 31, 2029 if either (i) the outstanding amount of the 2029 Secured Notes (or any refinancing debt permitted under the Amended and Restated ABL Facility in respect thereof that has a final maturity date, scheduled amortization or any other scheduled repayment, mandatory prepayment, mandatory redemption or sinking fund obligation prior to the date that is 91 days after the Amended and Restated ABL Termination Date (provided, that the terms of such permitted refinancing debt may (x) require the payment of interest from time to time and (y) include customary mandatory redemptions, prepayments or offers to purchase with proceeds of asset sales or upon the occurrence of a change of control)) on such date equals or exceeds $50.0 million or (ii) the outstanding amount of such debt described in clause (i) above on such date is less than $50.0 million and Liquidity (as defined in the Amended and Restated ABL Agreement) at any time on or after such date is less than the sum of (A) such outstanding amount and (B) the greater of (x) 10% of the aggregate Commitments (as defined in the Amended and Restated ABL Agreement) then in effect and (y) $50.0 million (and, for the avoidance of doubt, once the Amended and Restated ABL Termination Date occurs it may not be unwound as a result of Liquidity (as defined in the Amended and Restated ABL Agreement) increasing on a subsequent date), and (c) any date on which the aggregate Commitments terminate thereunder. As of June 30, 2026, there was $79.0 million outstanding under the Amended and Restated ABL Facility and the available borrowing capacity totaled $418.3 million after giving effect to the issuance thereunder of $2.7 million of outstanding but undrawn irrevocable standby letters of credit.</w:t>
      </w:r>
    </w:p>
    <w:p>
      <w:pPr>
        <w:pStyle w:val="TextBody"/>
        <w:bidi w:val="0"/>
        <w:spacing w:lineRule="auto" w:line="288" w:before="120" w:after="283"/>
        <w:jc w:val="left"/>
        <w:rPr/>
      </w:pPr>
      <w:r>
        <w:rPr>
          <w:rFonts w:ascii="Times New Roman;serif" w:hAnsi="Times New Roman;serif"/>
          <w:b/>
          <w:i/>
          <w:color w:val="000000"/>
          <w:sz w:val="20"/>
        </w:rPr>
        <w:t>New Permian Transmission Facility.</w:t>
      </w:r>
      <w:r>
        <w:rPr>
          <w:color w:val="000000"/>
        </w:rPr>
        <w:t xml:space="preserve"> </w:t>
      </w:r>
      <w:r>
        <w:rPr>
          <w:rFonts w:ascii="Times New Roman;serif" w:hAnsi="Times New Roman;serif"/>
          <w:b w:val="false"/>
          <w:color w:val="000000"/>
          <w:sz w:val="20"/>
        </w:rPr>
        <w:t>On March 16, 2026, Summit Permian Transmission completed a $440.0 million refinancing of the Legacy Permian Transmission Credit Facilities in the form of a new term loan facility (the “New Permian Transmission Facility”) bearing interest at SOFR plus 4.00% per annum and with a maturity in March 2031. The New Permian Transmission Facility consists of $340.0 million in initial term loan commitments, $50.0 million in delayed draw commitments (with a commitment fee of 1.00% per annum) and a $50.0 million uncommitted incremental facility.</w:t>
      </w:r>
    </w:p>
    <w:p>
      <w:pPr>
        <w:pStyle w:val="TextBody"/>
        <w:bidi w:val="0"/>
        <w:spacing w:lineRule="auto" w:line="288" w:before="120" w:after="283"/>
        <w:jc w:val="left"/>
        <w:rPr/>
      </w:pPr>
      <w:r>
        <w:rPr>
          <w:rFonts w:ascii="Times New Roman;serif" w:hAnsi="Times New Roman;serif"/>
          <w:b/>
          <w:i/>
          <w:color w:val="000000"/>
          <w:sz w:val="20"/>
        </w:rPr>
        <w:t>Material Transactions Impacting Liquidity.</w:t>
      </w:r>
      <w:r>
        <w:rPr>
          <w:color w:val="000000"/>
        </w:rPr>
        <w:t xml:space="preserve"> </w:t>
      </w:r>
      <w:r>
        <w:rPr>
          <w:rFonts w:ascii="Times New Roman;serif" w:hAnsi="Times New Roman;serif"/>
          <w:b w:val="false"/>
          <w:color w:val="000000"/>
          <w:sz w:val="20"/>
        </w:rPr>
        <w:t>As discussed elsewhere in Item 2 of this document, we completed the following material transactions during 2026 that impacted, or will impact, our current and future liquidity and payment obligations.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u w:val="single"/>
        </w:rPr>
        <w:t>Refinancing of Legacy Permian Transmission Credit Facilities.</w:t>
      </w:r>
      <w:r>
        <w:rPr>
          <w:color w:val="000000"/>
        </w:rPr>
        <w:t xml:space="preserve"> </w:t>
      </w:r>
      <w:r>
        <w:rPr>
          <w:rFonts w:ascii="Times New Roman;serif" w:hAnsi="Times New Roman;serif"/>
          <w:b w:val="false"/>
          <w:color w:val="000000"/>
          <w:sz w:val="20"/>
        </w:rPr>
        <w:t xml:space="preserve">In March 2026, we completed a $440.0 million refinancing of our Legacy Permian Transmission Credit Facilities in the form of the New Permian Transmission Facility.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u w:val="single"/>
        </w:rPr>
        <w:t>Redemption of Subsidiary Series A Preferred Units.</w:t>
      </w:r>
      <w:r>
        <w:rPr>
          <w:color w:val="000000"/>
        </w:rPr>
        <w:t xml:space="preserve"> </w:t>
      </w:r>
      <w:r>
        <w:rPr>
          <w:rFonts w:ascii="Times New Roman;serif" w:hAnsi="Times New Roman;serif"/>
          <w:b w:val="false"/>
          <w:color w:val="000000"/>
          <w:sz w:val="20"/>
        </w:rPr>
        <w:t xml:space="preserve">In March 2026, in connection with the refinancing of our Legacy Permian Transmission Credit Facilities, we redeemed in full all outstanding Subsidiary Series A Preferred Units with a cash payment of $143.2 million.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u w:val="single"/>
        </w:rPr>
        <w:t>Cash settlement of unpaid dividends for Series A Preferred Stock.</w:t>
      </w:r>
      <w:r>
        <w:rPr>
          <w:color w:val="000000"/>
        </w:rPr>
        <w:t xml:space="preserve"> </w:t>
      </w:r>
      <w:r>
        <w:rPr>
          <w:rFonts w:ascii="Times New Roman;serif" w:hAnsi="Times New Roman;serif"/>
          <w:b w:val="false"/>
          <w:color w:val="000000"/>
          <w:sz w:val="20"/>
        </w:rPr>
        <w:t>In March 2026, we made a cash dividend payment to the holders of our Series A Preferred Stock which included a $46.3 million cash payment for accrued and unpaid dividends owed from March 15, 2020 to December 14, 2024.</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u w:val="single"/>
        </w:rPr>
        <w:t>Equity issuance with a related party.</w:t>
      </w:r>
      <w:r>
        <w:rPr>
          <w:color w:val="000000"/>
        </w:rPr>
        <w:t xml:space="preserve"> </w:t>
      </w:r>
      <w:r>
        <w:rPr>
          <w:rFonts w:ascii="Times New Roman;serif" w:hAnsi="Times New Roman;serif"/>
          <w:b w:val="false"/>
          <w:color w:val="000000"/>
          <w:sz w:val="20"/>
        </w:rPr>
        <w:t>In March 2026, we issued and sold to Tall Oak Parent 1,351,351 shares of common stock of the Company in exchange for $41.5 million of cash proceeds, net of $0.5 million of issuance costs.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u w:val="single"/>
        </w:rPr>
        <w:t>Payment of Related party – Tall Oak deferred earn-out</w:t>
      </w:r>
      <w:r>
        <w:rPr>
          <w:rFonts w:ascii="Times New Roman;serif" w:hAnsi="Times New Roman;serif"/>
          <w:b w:val="false"/>
          <w:color w:val="000000"/>
          <w:sz w:val="20"/>
        </w:rPr>
        <w:t>. In March 2026, we settled our deferred earn-out obligation to Tall Oak Parent in full for a cash payment of $22.0 million.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u w:val="single"/>
        </w:rPr>
        <w:t>Share Repurchase Program.</w:t>
      </w:r>
      <w:r>
        <w:rPr>
          <w:color w:val="000000"/>
        </w:rPr>
        <w:t xml:space="preserve"> </w:t>
      </w:r>
      <w:r>
        <w:rPr>
          <w:rFonts w:ascii="Times New Roman;serif" w:hAnsi="Times New Roman;serif"/>
          <w:b w:val="false"/>
          <w:color w:val="000000"/>
          <w:sz w:val="20"/>
        </w:rPr>
        <w:t>In June 2026, our Board of Directors authorized the Share Repurchase Program to repurchase up to $35.0 million of SMC’s outstanding common stock. Since the inception of the Share Repurchase Program through June 30, 2026, we have repurchased 34,624 shares of common stock for an aggregate purchase price of $1.0 million, excluding applicable excise taxes.</w:t>
      </w:r>
    </w:p>
    <w:p>
      <w:pPr>
        <w:pStyle w:val="TextBody"/>
        <w:bidi w:val="0"/>
        <w:spacing w:lineRule="auto" w:line="288" w:before="120" w:after="283"/>
        <w:jc w:val="left"/>
        <w:rPr/>
      </w:pPr>
      <w:r>
        <w:rPr>
          <w:rFonts w:ascii="Times New Roman;serif" w:hAnsi="Times New Roman;serif"/>
          <w:b/>
          <w:i/>
          <w:color w:val="000000"/>
          <w:sz w:val="20"/>
        </w:rPr>
        <w:t>Other.</w:t>
      </w:r>
      <w:r>
        <w:rPr>
          <w:color w:val="000000"/>
        </w:rPr>
        <w:t xml:space="preserve"> </w:t>
      </w:r>
      <w:r>
        <w:rPr>
          <w:rFonts w:ascii="Times New Roman;serif" w:hAnsi="Times New Roman;serif"/>
          <w:b w:val="false"/>
          <w:color w:val="000000"/>
          <w:sz w:val="20"/>
        </w:rPr>
        <w:t>We may in the future use a combination of cash, secured or unsecured borrowings and issuances of our common stock or other securities and the proceeds from asset sales to retire or refinance our outstanding debt or Series A Preferred Stock through privately negotiated transactions, open market repurchases, redemptions, exchange offers, tender offers or otherwise, but we are under no obligation to do so.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5" name="Frame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Cash Flows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the net change in cash and cash equivalents were as follow:</w:t>
      </w:r>
    </w:p>
    <w:tbl>
      <w:tblPr>
        <w:tblW w:w="7089" w:type="dxa"/>
        <w:jc w:val="left"/>
        <w:tblInd w:w="0" w:type="dxa"/>
        <w:tblLayout w:type="fixed"/>
        <w:tblCellMar>
          <w:top w:w="28" w:type="dxa"/>
          <w:left w:w="28" w:type="dxa"/>
          <w:bottom w:w="28" w:type="dxa"/>
          <w:right w:w="28" w:type="dxa"/>
        </w:tblCellMar>
      </w:tblPr>
      <w:tblGrid>
        <w:gridCol w:w="1677"/>
        <w:gridCol w:w="1477"/>
        <w:gridCol w:w="1481"/>
        <w:gridCol w:w="211"/>
        <w:gridCol w:w="721"/>
        <w:gridCol w:w="109"/>
        <w:gridCol w:w="109"/>
        <w:gridCol w:w="109"/>
        <w:gridCol w:w="109"/>
        <w:gridCol w:w="211"/>
        <w:gridCol w:w="721"/>
        <w:gridCol w:w="154"/>
      </w:tblGrid>
      <w:tr>
        <w:trPr/>
        <w:tc>
          <w:tcPr>
            <w:tcW w:w="16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i/>
          <w:color w:val="000000"/>
          <w:sz w:val="20"/>
        </w:rPr>
        <w:t xml:space="preserve">Operating activities. </w:t>
      </w:r>
      <w:r>
        <w:rPr>
          <w:rFonts w:ascii="Times New Roman;serif" w:hAnsi="Times New Roman;serif"/>
          <w:b w:val="false"/>
          <w:color w:val="000000"/>
          <w:sz w:val="20"/>
        </w:rPr>
        <w:t>Details of operating cash flows follow:</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activity cash flows during the six months ended June 30, 2026 primarily reflected: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a net income of $1.4 million plus positive adjustments of $69.4 million for non-cash operating items; and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 $19.9 million outflow due to changes in working capital accounts.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activity cash flows during the six months ended June 30, 2025 primarily reflected: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 net income of $0.4 million plus adjustments of $68.3 million for non-cash operating items;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an $15.5 million outflow due to changes in working capital accounts.</w:t>
      </w:r>
    </w:p>
    <w:p>
      <w:pPr>
        <w:pStyle w:val="TextBody"/>
        <w:bidi w:val="0"/>
        <w:spacing w:lineRule="auto" w:line="288" w:before="120" w:after="283"/>
        <w:jc w:val="left"/>
        <w:rPr/>
      </w:pPr>
      <w:r>
        <w:rPr>
          <w:rFonts w:ascii="Times New Roman;serif" w:hAnsi="Times New Roman;serif"/>
          <w:b/>
          <w:i/>
          <w:color w:val="000000"/>
          <w:sz w:val="20"/>
        </w:rPr>
        <w:t xml:space="preserve">Investing activities. </w:t>
      </w:r>
      <w:r>
        <w:rPr>
          <w:rFonts w:ascii="Times New Roman;serif" w:hAnsi="Times New Roman;serif"/>
          <w:b w:val="false"/>
          <w:color w:val="000000"/>
          <w:sz w:val="20"/>
        </w:rPr>
        <w:t>Details of investing cash flows follow:</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activity cash flows during the six months ended June 30, 2026 primarily reflected: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$44.3 million of cash outflows for capital expenditures; and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$6.5 million of cash outflows for capital contributions for our equity method investment in Double 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activity cash flows during the six months ended June 30, 2025 primarily reflected: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$70.0 million of cash outflows from cash consideration paid for the acquisition of Moonrise, net of cash acquired in the transaction;</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$47.0 million of cash outflows for capital expenditures;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$3.1 million of cash outflows for capital contributions for our equity method investment in Double E.</w:t>
      </w:r>
    </w:p>
    <w:p>
      <w:pPr>
        <w:pStyle w:val="TextBody"/>
        <w:bidi w:val="0"/>
        <w:spacing w:lineRule="auto" w:line="288" w:before="120" w:after="283"/>
        <w:jc w:val="left"/>
        <w:rPr/>
      </w:pPr>
      <w:r>
        <w:rPr>
          <w:rFonts w:ascii="Times New Roman;serif" w:hAnsi="Times New Roman;serif"/>
          <w:b/>
          <w:i/>
          <w:color w:val="000000"/>
          <w:sz w:val="20"/>
        </w:rPr>
        <w:t xml:space="preserve">Financing activities. </w:t>
      </w:r>
      <w:r>
        <w:rPr>
          <w:rFonts w:ascii="Times New Roman;serif" w:hAnsi="Times New Roman;serif"/>
          <w:b w:val="false"/>
          <w:color w:val="000000"/>
          <w:sz w:val="20"/>
        </w:rPr>
        <w:t>Details of financing activities follow:</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activity cash flows during the six months ended June 30, 2026 primarily reflected: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$350.0 million of cash inflows for borrowings under the New Permian Transmission Credit Facility;</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$83.0 million of cash inflows for borrowings on the Amended and Restated ABL Facility;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$41.5 million of cash inflows for proceeds from related party shares issued for cash; partially offset by</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$1.0 million of cash outflows for repurchase of SMC common shares in connection with the Share Repurchase Program;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$143.2 million of cash outflows for redemption of our Subsidiary Series A Preferred Units;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$117.0 million of cash outflows for repayments on the Legacy Permian Transmission Term Loan;</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$117.0 million of cash outflows for repayments on the Amended and Restated ABL Facility;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$51.3 million of cash outflows for Distributions on Series A Preferred Stock;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$21.3 million of cash outflows for the related party settlement of the Tall Oak earn-out.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activity cash flows during the six months ended June 30, 2025 primarily reflected: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$260.0 million of cash outflows for repayments on the Amended and Restated ABL Facility;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$8.1 million of cash outflows for repayments on the Legacy Permian Transmission Term Loan;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$6.7 million of cash outflows for Distributions to Series A Preferred Shareholders;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46" name="Frame4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$258.4 million of cash inflows from the issuance of the Additional 2029 Secured Notes;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$95.0 million of cash inflows from borrowings on the Amended and Restated ABL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Capital Requirements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business is capital intensive, requiring significant investment for the maintenance of existing gathering systems and the acquisition or construction and development of new gathering systems and other midstream assets and facilities. Our Partnership Agreement required that we categorize our capital expenditures as either:</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maintenance capital expenditures, which are cash expenditures (including expenditures for the addition or improvement to, or the replacement of, our capital assets or for the acquisition of existing, or the construction or development of new, capital assets) made to maintain our long-term operating income or operating capacity; or</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expansion capital expenditures, which are cash expenditures incurred for acquisitions or capital improvements that we expect will increase our operating income or operating capacity over the long term.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cash paid for capital expenditures totaled $44.3 million which included $7.9 million of maintenance capital expenditures. For the six months ended June 30, 2026, we contributed $6.5 million to Double 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rely primarily on internally generated cash flows, our current cash balance as well as external financing sources, including commercial bank borrowings and the issuance of debt, equity, and preferred equity securities, and proceeds from potential asset divestitures to fund our capital expenditures. We believe that our internally generated cash flows, current cash balance, our Amended and Restated ABL Facility and the New Permian Transmission Facility, and access to debt or equity capital markets, will be adequate to finance our operations for the next twelve months without adversely impacting our liquidity.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are a number of risks and uncertainties that could cause our current expectations to change, including, but not limited to, (i) the ability to reach agreements with third parties; (ii) prevailing conditions and outlook in the natural gas, crude oil and NGL industries and markets, and (iii) our ability to obtain financing from commercial banks, the capital markets, or other financing 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Credit and Counterparty Concentration Risks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examine the creditworthiness of counterparties to whom we extend credit and manage our exposure to credit risk through credit analysis, credit approval, credit limits, and monitoring procedures, and for certain transactions, we may request letters of credit, prepayments or guarantees.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Certain of our customers may be temporarily unable to meet their current obligations. While this may cause disruption to cash flows, we believe that we are properly positioned to deal with the potential disruption because the vast majority of our gathering assets are strategically positioned at the beginning of the midstream value chain. The majority of our infrastructure is connected directly to our customers’ wellheads and pad sites, which means our gathering systems are typically the first third-party infrastructure through which our customers’ commodities flow and, in many cases, the only way for our customers to get their production to market.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exposure due to nonperformance under our MVC contracts whereby a potential customer may not have the wherewithal to make its MVC shortfall payments when they become due. We typically receive payment for all prior-year MVC shortfall billings in the quarter immediately following billing. Therefore, our exposure to risk of nonperformance is limited to and accumulates during the current year-to-date contracted measurement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Off-Balance Sheet Arrangements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there were no material changes to the off-balance sheet obligations disclosed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Critical Accounting Estimates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prepare our financial statements in accordance with GAAP. These principles are established by the FASB. We employ methods, estimates and assumptions based on currently available information when recording transactions resulting from business operations. There have been no significant changes to our critical accounting estimates from those disclosed on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Investors are cautioned that certain statements contained in this report as well as in periodic press releases and certain oral statements made by our officers and employees during our presentations are “forward-looking” statements. Forward-looking statements include, without limitation, any statement that may project, indicate or imply future results, events, performance or achievements and may contain the words “expect,” “intend,” “plan,” “anticipate,” “estimate,” “believe,” “will be,”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47" name="Frame4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continue,” “will likely result,” and similar expressions, or future conditional verbs such as “may,” “will,” “should,” “would,” and “could.” In addition, any statement concerning future financial performance (including future revenues, earnings, or growth rates), ongoing business strategies or prospects, and possible actions taken by us or our subsidiaries are also forward-looking statements. These forward-looking statements involve various risks and uncertainties, including, but not limited to, those described in Part II. Item 1A. Risk Factors included in this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Forward-looking statements are based on current expectations and projections about future events and are inherently subject to a variety of risks and uncertainties, many of which are beyond the control of our management team. All forward-looking statements in this report and subsequent written and oral forward-looking statements attributable to us, or to persons acting on our behalf, are expressly qualified in their entirety by the cautionary statements in this paragraph. These risks and uncertainties include, among others: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decision whether to pay, or our ability to grow, our cash dividends;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fluctuations in natural gas, NGLs and crude oil prices, including as a result of political or economic measures taken by various countries or OPEC and the threatened and actual closing of oil shipping routes, including the Strait of Hormuz, by Iran and affiliated groups;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extent and success of our customers’ drilling and completion efforts, as well as the quantity of natural gas, crude oil, freshwater deliveries, and produced water volumes produced within proximity of our assets;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failure or delays by our customers in achieving expected production in their natural gas, crude oil and produced water projects;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competitive conditions in our industry and their impact on our ability to connect hydrocarbon supplies to our gathering and processing assets or systems;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actions or inactions taken or nonperformance by third parties, including suppliers, contractors, operators, processors, transporters and customers, including the inability or failure of our shipper customers to meet their financial obligations under our gathering agreements and our ability to enforce the terms and conditions of certain of our gathering agreements in the event of a bankruptcy of one or more of our customers;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ability to divest of certain of our assets to third parties on attractive terms, which is subject to a number of factors, including prevailing conditions and outlook in the natural gas, NGL and crude oil industries and markets;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ability to attract and retain key management personnel;</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commercial bank and capital market conditions and the potential impact of changes or disruptions in the credit and/or capital markets;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changes in the availability and cost of capital and the results of our financing efforts, including availability of funds in the credit and/or capital markets;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restrictions placed on us by the agreements governing our debt and preferred equity instruments;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availability, terms and cost of downstream transportation and processing services;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natural disasters, accidents, weather-related delays, casualty losses, and other matters beyond our control;</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current and potential future impact of pandemics on our business, results of operations, financial position, or cash flows;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operational risks and hazards inherent in the transmission, gathering, compression, treating, and/or processing of natural gas, crude oil and produced water;</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ability to comply with the terms of the agreements comprising the Global Settlement;</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weather conditions and terrain in certain areas in which we operate;</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physical and financial risks associated with climate change;</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any other issues that can result in deficiencies in the design, installation, or operation of our transmission, gathering, compression, treating, processing, and freshwater facilities;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timely receipt of necessary government approvals and permits, our ability to control the costs of construction, including costs of materials, labor and rights-of-way and other factors that may impact our ability to complete projects within budget and on schedule;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48" name="Frame4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ability to finance our obligations related to capital expenditures, including through opportunistic asset divestitures or joint ventures and the impact any such divestitures or joint ventures could have on our results;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effects of existing and future laws and governmental regulations, including environmental, safety and climate change requirements and federal, state, and local restrictions or requirements applicable to oil and/or gas drilling, production, or transportation;</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effects of litigation;</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interest rates;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changes in general economic conditions; and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certain factors discussed elsewhere in this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Developments in any of these areas could cause actual results to differ materially from those anticipated or projected or cause a significant reduction in the market price of our common stock, Series A Preferred Stock and 2029 Secured Notes.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foregoing list of risks and uncertainties may not contain all of the risks and uncertainties that could affect us. In addition, in light of these risks and uncertainties, the matters referred to in the forward-looking statements contained in this document may not in fact occur. Accordingly, undue reliance should not be placed on these statements. We undertake no obligation to publicly update or revise any forward-looking statements as a result of new information, future events or otherwise, except as otherwise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Information About Us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Investors should note that we make available, free of charge on our website at www.summitmidstream.com, our annual reports on Form 10-K, quarterly reports on Form 10-Q, current reports on Form 8-K, and any amendments to those reports as soon as reasonably practicable after we electronically file such material with, or furnish it to, the SEC. We also post announcements, updates, events, investor information, and presentations on our website in addition to copies of all recent news releases. We may use the Investors section of our website to communicate with investors. It is possible that the financial and other information posted there could be deemed to be material information. Documents and information on our website are not incorporated by reference herein.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SEC maintains a website at www.sec.gov that contains reports, proxy and information statements, and other information regarding issuers, including us, that file electronically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885"/>
                <wp:effectExtent l="0" t="0" r="0" b="0"/>
                <wp:wrapNone/>
                <wp:docPr id="49" name="Frame4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Item 3. Quantitative and Qualitative Disclosures About Market Risk.</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Interest Rate Risk</w:t>
      </w:r>
    </w:p>
    <w:p>
      <w:pPr>
        <w:pStyle w:val="TextBody"/>
        <w:bidi w:val="0"/>
        <w:spacing w:lineRule="auto" w:line="288" w:before="120" w:after="283"/>
        <w:jc w:val="left"/>
        <w:rPr/>
      </w:pPr>
      <w:r>
        <w:rPr>
          <w:rFonts w:ascii="Times New Roman;serif" w:hAnsi="Times New Roman;serif"/>
          <w:b w:val="false"/>
          <w:color w:val="000000"/>
          <w:sz w:val="20"/>
        </w:rPr>
        <w:t xml:space="preserve">Our interest rate risk exposure, which is largely related to our indebtedness, has not changed materially since December 31, 2025, except for the following. In March 2026, in connection with the refinancing of the Legacy Permian Transmission Credit Facilities, our variable rate indebtedness increased. Additionally, as of June 30, 2026, the notional amount of our interest rate swaps remained at approximately $100.0 million. As of June 30, 2026, we had approximately $825.0 million principal of fixed-rate debt, $79.0 million outstanding under our variable rate Amended and Restated ABL Facility and $350.0 million outstanding under the variable rate New Permian Transmission Facility (see </w:t>
      </w:r>
      <w:r>
        <w:rPr>
          <w:rFonts w:ascii="Times New Roman;serif" w:hAnsi="Times New Roman;serif"/>
          <w:b w:val="false"/>
          <w:i/>
          <w:color w:val="000000"/>
          <w:sz w:val="20"/>
        </w:rPr>
        <w:t xml:space="preserve">Note 8 - Debt </w:t>
      </w:r>
      <w:r>
        <w:rPr>
          <w:rFonts w:ascii="Times New Roman;serif" w:hAnsi="Times New Roman;serif"/>
          <w:b w:val="false"/>
          <w:color w:val="000000"/>
          <w:sz w:val="20"/>
        </w:rPr>
        <w:t>for additional information). While existing fixed-rate debt mitigates the downside impact of fluctuations in interest rates, future issuances of long-term debt could be impacted by increases in interest rates, which could result in higher overall interest costs. In addition, the borrowings under our Amended and Restated ABL Facility, which have a variable interest rate, also expose us to the risk of increasing interest rates. For the six months ended June 30, 2026, a hypothetical 1% increase (decrease) in interest rates on our variable rate debt would have increased (decreased) our interest expense by approximately $1.8 million, assuming no changes in amounts drawn or other variables under our Amended and Restated ABL Facility, Legacy Permian Transmission Term Loan, and New Permian Transmission Facility. For additional information, see the “Interest Rate Risk” section included in Item 7A. Quantitative and Qualitative Disclosures About Market Risk of the 2025 Annual Report and updates to our risk factors included herein.</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Commodity Price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generate a majority of our revenues pursuant to primarily long-term and fee-based gathering agreements, many of which include MVCs and areas of mutual interest. Our direct commodity price exposure relates to (i) the sale of physical natural gas and/or NGLs purchased under percentage-of-proceeds and other processing arrangements with certain of our customers in the Rockies, Piceance and Mid-Con segments, (ii) the sale of natural gas we retain from certain Mid-Con segment customers and (iii) the sale of condensate we retain from certain gathering services in the Piceance segment. Our gathering agreements with certain Mid-Con customers permit us to retain a certain quantity of natural gas that we sell to offset the power costs we incur to operate our electric-drive compression assets. We manage our direct exposure to natural gas and power prices through the use of forward power purchase contracts with wholesale power providers that require us to purchase a fixed quantity of power at a fixed heat rate based on prevailing natural gas prices on the Henry Hub Index. We sell retainage natural gas at prices that are based on the Atmos Zone 3 Index. By basing the power prices on a system and basin-relevant market, we are able to closely associate the relationship between the compression electricity expense and natural gas retainage sales. We do not enter into risk management contracts for speculative purposes. Our current commodity price risk exposure has not changed materially since December 31, 2025. For additional information, see the “Commodity Price Risk” section included in Item 7A. Quantitative and Qualitative Disclosures About Market Risk of the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Item 4. Controls and Procedures.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Under the direction of our Chief Executive Officer and Chief Financial Officer, we evaluated our disclosure controls and procedures and internal control over financial reporting and concluded that (i) our disclosure controls and procedures were effective as of June 30, 2026 and (ii) no change in internal control over financial reporting occurred during the quarter ended June 30, 2026,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885"/>
                <wp:effectExtent l="0" t="0" r="0" b="0"/>
                <wp:wrapNone/>
                <wp:docPr id="50" name="Frame5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may, from time to time, be involved in litigation and claims arising out of our operations in the ordinary course of business, we are not currently a party to any significant legal or governmental proceedings, except as described below. In addition, we are not aware of any significant legal or governmental proceedings contemplated to be brought against us, under the various environmental protection statutes to which we are subject. </w:t>
      </w:r>
    </w:p>
    <w:p>
      <w:pPr>
        <w:pStyle w:val="TextBody"/>
        <w:bidi w:val="0"/>
        <w:spacing w:lineRule="auto" w:line="268" w:before="120" w:after="283"/>
        <w:jc w:val="left"/>
        <w:rPr/>
      </w:pPr>
      <w:r>
        <w:rPr>
          <w:rFonts w:ascii="Times New Roman;serif" w:hAnsi="Times New Roman;serif"/>
          <w:b/>
          <w:i/>
          <w:color w:val="000000"/>
          <w:sz w:val="20"/>
        </w:rPr>
        <w:t>Global Settlement.</w:t>
      </w:r>
      <w:r>
        <w:rPr>
          <w:color w:val="000000"/>
        </w:rPr>
        <w:t xml:space="preserve"> </w:t>
      </w:r>
      <w:r>
        <w:rPr>
          <w:rFonts w:ascii="Times New Roman;serif" w:hAnsi="Times New Roman;serif"/>
          <w:b w:val="false"/>
          <w:color w:val="000000"/>
          <w:sz w:val="20"/>
        </w:rPr>
        <w:t>On August 4, 2021, SMLP and several of its subsidiaries entered into agreements to resolve government investigations into the previously disclosed 2015 Blacktail Release, from a pipeline owned and operated by Meadowlark Midstream, which at the time was a wholly owned subsidiary of Summit Investments (together with Meadowlark Midstream, the “Companies”). The Companies entered into the following agreements to resolve the U.S. federal and North Dakota state governments’ environmental claims against the Companies with respect to the 2015 Blacktail Release: (i) a Consent Decree with (a) the DOJ, on behalf of the U.S. Environmental Protection Agency and the U.S. Department of Interior, and (b) the State of North Dakota, on behalf of the North Dakota Department of Environmental Quality and the North Dakota Game and Fish Department, lodged with the U.S. District Court; (ii) a Plea Agreement with the U.S., by and through the U.S. Attorney for the District of North Dakota, and the Environmental Crimes Section of the DOJ; and (iii) a Consent Agreement with the North Dakota Industrial Commission (together, the “Global Settlement”).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Consent Decree provides for, among other requirements and subject to the conditions therein, (i) payment of total civil penalties and reimbursement of assessment costs of approximately $21.25 million, with the federal portion of penalties payable over up to five years and the state portion of penalties payable over up to, for the federal and state civil amounts, six years and, for the federal criminal amounts, five years, with interest accruing at, for the federal and state civil amounts, a fixed rate of 3.25% and, for the federal criminal amounts, a variable rate set by statute; (ii) continuation of remediation efforts at the site of the 2015 Blacktail Release; (iii) other injunctive relief, including, but not limited to, control room management, an environmental management system audit, training, and reporting; and (iv) no admission of liability to the U.S. or North Dakota. The Consent Decree was entered by the U.S. District Court on September 28, 2021.</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Consent Agreement settles a complaint brought by the North Dakota Industrial Commission in an administrative action against the Companies for alleged violations of the North Dakota Administrative Code (“NDAC”) arising from the 2015 Blacktail Release on the following terms: (i) the Companies admit to three counts of violating the NDAC; (ii) the Companies agree to follow the terms and conditions of the Consent Decree, including payment of penalty and reimbursement amounts set forth in the Consent Decree; and (iii) specified conditions in the Consent Decree regarding operation and testing of certain existing produced water pipelines shall survive until those pipelines are properly abandoned.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Under the Plea Agreement, the Companies agreed to, among other requirements and subject to the conditions therein, (i) enter guilty pleas for one charge of negligent discharge of a harmful quantity of oil and one charge of knowing failure to immediately report a discharge of oil; (ii) sentencing that includes payment of a fine of $15.0 million plus mandatory special assessments over a period of up to five years with interest accruing at the federal statutory rate; (iii) organizational probation for a minimum period of three years from sentencing on December 6, 2021, which will include payment in full of certain components of the fines and penalty amounts; and (iv) compliance with the remedial measures in the Consent Decree.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December 6, 2021, the U.S. District Court accepted the Plea Agreement. This Global Settlement resulted in losses amounting to $36.3 million and will be paid over five to six years. As of June 30, 2026, we have paid principal amounts totaling $28.0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885"/>
                <wp:effectExtent l="0" t="0" r="0" b="0"/>
                <wp:wrapNone/>
                <wp:docPr id="51" name="Frame5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risk factor supplements and, to the extent inconsistent therewith, supersedes the risk factors previously disclosed in the Company’s 2025 Annual Report. Except as set forth below, there have been no material changes to the Company’s risk factors as previously disclosed.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cannot guarantee that our Share Repurchase Program will be fully completed or that it will enhance long-term stockholder value. Share repurchases could also increase the volatility of the trading price of our common stock and could diminish our cash reserves.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June 2026, the Company’s Board of Directors authorized the Share Repurchase Program to repurchase up to $35.0 million of the Company’s outstanding common stock. Under the Share Repurchase Program, repurchases of shares of the Company’s common stock may be made from time to time in the open market, through privately negotiated transactions, block purchases, or otherwise, including through a Rule 10b5-1 trading plan, in compliance with applicable federal and state securities laws, including Rule 10b-18 under the Securities Exchange Act of 1934, as amended. Although our Board of Directors has authorized the Share Repurchase Program, it does not obligate us to repurchase any specific dollar amount or to acquire any specific number of shares. The actual timing, manner, price, and total amount of future repurchases will depend on a variety of factors, including business and market conditions, the trading price of the Company’s common stock, compliance with debt covenants, and certain other considerations. The Share Repurchase Program may be modified, suspended, or terminated at any time, and we cannot guarantee that the program will be fully completed or that it will enhance long-term stockholder value. The Share Repurchase Program could affect the trading price of our stock and increase volatility, and any announcement of a termination of this program may result in a decrease in the trading price of our stock. In addition, the Share Repurchase Program could diminish our cash, cash equivalents, and marketable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885"/>
                <wp:effectExtent l="0" t="0" r="0" b="0"/>
                <wp:wrapNone/>
                <wp:docPr id="52" name="Frame5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120"/>
        <w:jc w:val="left"/>
        <w:rPr/>
      </w:pPr>
      <w:r>
        <w:rPr>
          <w:rFonts w:ascii="Times New Roman;serif" w:hAnsi="Times New Roman;serif"/>
          <w:b/>
          <w:i/>
          <w:color w:val="000000"/>
          <w:sz w:val="20"/>
        </w:rPr>
        <w:t>Share Repurchase Program.</w:t>
      </w:r>
      <w:r>
        <w:rPr>
          <w:color w:val="000000"/>
        </w:rPr>
        <w:t xml:space="preserve"> </w:t>
      </w:r>
      <w:r>
        <w:rPr>
          <w:rFonts w:ascii="Times New Roman;serif" w:hAnsi="Times New Roman;serif"/>
          <w:b w:val="false"/>
          <w:color w:val="000000"/>
          <w:sz w:val="20"/>
        </w:rPr>
        <w:t>In June 2026, the Company’s Board of Directors authorized the Share Repurchase Program to repurchase up to $35.0 million of the Company’s outstanding common stock. Under the Share Repurchase Program, repurchases of shares of the Company’s common stock may be made from time to time in the open market, through privately negotiated transactions, block purchases, or otherwise, including through a Rule 10b5-1 trading plan, in compliance with applicable federal and state securities laws, including Rule 10b-18 under the Securities Exchange Act of 1934, as amended. The timing and amount of any repurchases will be determined by management at its discretion based on a variety of factors, including business and market conditions, the trading price of the Company’s common stock, compliance with debt covenants, and certain other considerations. The Share Repurchase Program does not obligate the Company to repurchase any specific number of shares, has no fixed expiration date, and may be suspended or discontinued at any time.</w:t>
      </w:r>
    </w:p>
    <w:tbl>
      <w:tblPr>
        <w:tblW w:w="10205" w:type="dxa"/>
        <w:jc w:val="left"/>
        <w:tblInd w:w="0" w:type="dxa"/>
        <w:tblLayout w:type="fixed"/>
        <w:tblCellMar>
          <w:top w:w="28" w:type="dxa"/>
          <w:left w:w="28" w:type="dxa"/>
          <w:bottom w:w="28" w:type="dxa"/>
          <w:right w:w="28" w:type="dxa"/>
        </w:tblCellMar>
      </w:tblPr>
      <w:tblGrid>
        <w:gridCol w:w="335"/>
        <w:gridCol w:w="295"/>
        <w:gridCol w:w="296"/>
        <w:gridCol w:w="109"/>
        <w:gridCol w:w="109"/>
        <w:gridCol w:w="109"/>
        <w:gridCol w:w="522"/>
        <w:gridCol w:w="522"/>
        <w:gridCol w:w="523"/>
        <w:gridCol w:w="109"/>
        <w:gridCol w:w="109"/>
        <w:gridCol w:w="109"/>
        <w:gridCol w:w="279"/>
        <w:gridCol w:w="814"/>
        <w:gridCol w:w="144"/>
        <w:gridCol w:w="109"/>
        <w:gridCol w:w="109"/>
        <w:gridCol w:w="109"/>
        <w:gridCol w:w="719"/>
        <w:gridCol w:w="719"/>
        <w:gridCol w:w="721"/>
        <w:gridCol w:w="109"/>
        <w:gridCol w:w="109"/>
        <w:gridCol w:w="109"/>
        <w:gridCol w:w="438"/>
        <w:gridCol w:w="2245"/>
        <w:gridCol w:w="325"/>
      </w:tblGrid>
      <w:tr>
        <w:trPr/>
        <w:tc>
          <w:tcPr>
            <w:tcW w:w="33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Number (or Approximated Dollar Value) of Shares that May Yet Be Purchased Under the Plans or Programs</w:t>
            </w:r>
          </w:p>
        </w:tc>
      </w:tr>
      <w:tr>
        <w:trPr/>
        <w:tc>
          <w:tcPr>
            <w:tcW w:w="9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33,991,832 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4. Mine Safety Disclosure.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Item 5. Other Information</w:t>
      </w:r>
      <w:r>
        <w:rPr>
          <w:rFonts w:ascii="Times New Roman;serif" w:hAnsi="Times New Roman;serif"/>
          <w:b/>
          <w:i/>
          <w:color w:val="000000"/>
          <w:sz w:val="20"/>
        </w:rPr>
        <w: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885"/>
                <wp:effectExtent l="0" t="0" r="0" b="0"/>
                <wp:wrapNone/>
                <wp:docPr id="53" name="Frame5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63"/>
        <w:gridCol w:w="318"/>
        <w:gridCol w:w="321"/>
        <w:gridCol w:w="109"/>
        <w:gridCol w:w="109"/>
        <w:gridCol w:w="109"/>
        <w:gridCol w:w="2589"/>
        <w:gridCol w:w="2589"/>
        <w:gridCol w:w="3698"/>
      </w:tblGrid>
      <w:tr>
        <w:trPr/>
        <w:tc>
          <w:tcPr>
            <w:tcW w:w="36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c>
          <w:tcPr>
            <w:tcW w:w="3698" w:type="dxa"/>
            <w:tcBorders/>
            <w:vAlign w:val="center"/>
          </w:tcPr>
          <w:p>
            <w:pPr>
              <w:pStyle w:val="TableContents"/>
              <w:bidi w:val="0"/>
              <w:spacing w:before="0" w:after="283"/>
              <w:jc w:val="left"/>
              <w:rPr>
                <w:sz w:val="4"/>
                <w:szCs w:val="4"/>
              </w:rPr>
            </w:pPr>
            <w:r>
              <w:rPr>
                <w:sz w:val="4"/>
                <w:szCs w:val="4"/>
              </w:rPr>
            </w:r>
          </w:p>
        </w:tc>
      </w:tr>
      <w:tr>
        <w:trPr/>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Times New Roman;serif" w:hAnsi="Times New Roman;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bookmarkStart w:id="0" w:name="i5fa74b1a1ea047fea001b1f8eca5ade6_1-2-1-"/>
              <w:bookmarkEnd w:id="0"/>
              <w:r>
                <w:rPr>
                  <w:rStyle w:val="InternetLink"/>
                  <w:rFonts w:ascii="Times New Roman;serif" w:hAnsi="Times New Roman;serif"/>
                  <w:b w:val="false"/>
                  <w:color w:val="0000FF"/>
                  <w:sz w:val="20"/>
                  <w:u w:val="single"/>
                </w:rPr>
                <w:t>Amended and Restated Certificate of Incorporation of Summit Midstream Corporation (Incorporated herein by reference to Exhibit 3.1 to SMC’s Current Report on Form 8-K12B filed August 1, 2024 (Commission File No. 001-35666)).</w:t>
              </w:r>
            </w:hyperlink>
          </w:p>
        </w:tc>
      </w:tr>
      <w:tr>
        <w:trPr/>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erif" w:hAnsi="Times New Roman;serif"/>
                  <w:b w:val="false"/>
                  <w:color w:val="0000FF"/>
                  <w:sz w:val="20"/>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Amended and Restated Bylaws of Summit Midstream Corporation (Incorporated herein by reference to Exhibit 3.2 to SMC’s Current Report on Form 8-K12B filed August 1, 2024 (Commission File No. 001-35666)).</w:t>
              </w:r>
            </w:hyperlink>
          </w:p>
        </w:tc>
      </w:tr>
      <w:tr>
        <w:trPr/>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Times New Roman;serif" w:hAnsi="Times New Roman;serif"/>
                  <w:b w:val="false"/>
                  <w:color w:val="0000FF"/>
                  <w:sz w:val="20"/>
                  <w:u w:val="single"/>
                </w:rPr>
                <w:t>3.3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Certificate of Designation of Series A Floating Rate Cumulative Redeemable Perpetual Preferred Stock of Summit Midstream Corporation (Incorporated herein by reference to Exhibit 3.3 to SMC’s Current Report on Form 8-K12B filed August 1, 2024 (Commission File No. 001-35666)).</w:t>
              </w:r>
            </w:hyperlink>
          </w:p>
        </w:tc>
      </w:tr>
      <w:tr>
        <w:trPr/>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8">
              <w:r>
                <w:rPr>
                  <w:rStyle w:val="InternetLink"/>
                  <w:rFonts w:ascii="Times New Roman;serif" w:hAnsi="Times New Roman;serif"/>
                  <w:b w:val="false"/>
                  <w:color w:val="0000FF"/>
                  <w:sz w:val="20"/>
                  <w:u w:val="single"/>
                </w:rPr>
                <w:t>3.4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Certificate of Designation of Class B common stock, par value $0.01 per share, of Summit Midstream Corporation (Incorporated herein by reference to Exhibit 3.1 to SMC’s Current Report on Form 8-K filed December 3, 2024 (Commission File No. 001-42201)).</w:t>
              </w:r>
            </w:hyperlink>
          </w:p>
        </w:tc>
      </w:tr>
      <w:tr>
        <w:trPr/>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0">
              <w:r>
                <w:rPr>
                  <w:rStyle w:val="InternetLink"/>
                  <w:rFonts w:ascii="Times New Roman;serif" w:hAnsi="Times New Roman;serif"/>
                  <w:b w:val="false"/>
                  <w:color w:val="0000FF"/>
                  <w:sz w:val="20"/>
                  <w:u w:val="single"/>
                </w:rPr>
                <w:t>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Amendment No. 1 to the Summit Midstream Corporation 2024 Long-Term Incentive Plan (Incorporated herein by reference to Exhibit 4.6 to SMC’s Registration Statement on Form S-8 filed June 29, 2026).</w:t>
              </w:r>
            </w:hyperlink>
          </w:p>
        </w:tc>
      </w:tr>
      <w:tr>
        <w:trPr/>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smc-20260630xex311.htm">
              <w:r>
                <w:rPr>
                  <w:rStyle w:val="InternetLink"/>
                  <w:rFonts w:ascii="Times New Roman;serif" w:hAnsi="Times New Roman;serif"/>
                  <w:b w:val="false"/>
                  <w:color w:val="0000FF"/>
                  <w:sz w:val="20"/>
                  <w:u w:val="single"/>
                </w:rPr>
                <w:t>31.1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smc-20260630xex311.htm">
              <w:r>
                <w:rPr>
                  <w:rStyle w:val="InternetLink"/>
                  <w:rFonts w:ascii="Times New Roman;serif" w:hAnsi="Times New Roman;serif"/>
                  <w:b w:val="false"/>
                  <w:color w:val="0000FF"/>
                  <w:sz w:val="20"/>
                  <w:u w:val="single"/>
                </w:rPr>
                <w:t>Rule 13a-14(a)/15d-14(a) Certification, executed by Heath Deneke, President, Chief Executive Officer and Director</w:t>
              </w:r>
            </w:hyperlink>
          </w:p>
        </w:tc>
      </w:tr>
      <w:tr>
        <w:trPr/>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smc-20260630xex312.htm">
              <w:r>
                <w:rPr>
                  <w:rStyle w:val="InternetLink"/>
                  <w:rFonts w:ascii="Times New Roman;serif" w:hAnsi="Times New Roman;serif"/>
                  <w:b w:val="false"/>
                  <w:color w:val="0000FF"/>
                  <w:sz w:val="20"/>
                  <w:u w:val="single"/>
                </w:rPr>
                <w:t>31.2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smc-20260630xex312.htm">
              <w:r>
                <w:rPr>
                  <w:rStyle w:val="InternetLink"/>
                  <w:rFonts w:ascii="Times New Roman;serif" w:hAnsi="Times New Roman;serif"/>
                  <w:b w:val="false"/>
                  <w:color w:val="0000FF"/>
                  <w:sz w:val="20"/>
                  <w:u w:val="single"/>
                </w:rPr>
                <w:t>Rule 13a-14(a)/15d-14(a) Certification, executed by William J. Mault, Executive Vice President and Chief Financial Officer</w:t>
              </w:r>
            </w:hyperlink>
          </w:p>
        </w:tc>
      </w:tr>
      <w:tr>
        <w:trPr/>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smc-20260630xex321.htm">
              <w:r>
                <w:rPr>
                  <w:rStyle w:val="InternetLink"/>
                  <w:rFonts w:ascii="Times New Roman;serif" w:hAnsi="Times New Roman;serif"/>
                  <w:b w:val="false"/>
                  <w:color w:val="0000FF"/>
                  <w:sz w:val="20"/>
                  <w:u w:val="single"/>
                </w:rPr>
                <w:t>32.1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smc-20260630xex321.htm">
              <w:r>
                <w:rPr>
                  <w:rStyle w:val="InternetLink"/>
                  <w:rFonts w:ascii="Times New Roman;serif" w:hAnsi="Times New Roman;serif"/>
                  <w:b w:val="false"/>
                  <w:color w:val="0000FF"/>
                  <w:sz w:val="20"/>
                  <w:u w:val="single"/>
                </w:rPr>
                <w:t>Certifications required by Rule 13a-14(b) or Rule 15d-14(b) and Section 1350 of Chapter 63 of Title 18 of the United States Code (18 U.S.C. 1350), executed by Heath Deneke, President, Chief Executive Officer and Director, and William J. Mault, Executive Vice President and Chief Financial Officer</w:t>
              </w:r>
            </w:hyperlink>
          </w:p>
        </w:tc>
      </w:tr>
      <w:tr>
        <w:trPr/>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r>
      <w:tr>
        <w:trPr/>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w:t>
            </w:r>
          </w:p>
        </w:tc>
      </w:tr>
      <w:tr>
        <w:trPr/>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w:t>
            </w:r>
          </w:p>
        </w:tc>
      </w:tr>
      <w:tr>
        <w:trPr/>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w:t>
            </w:r>
          </w:p>
        </w:tc>
      </w:tr>
      <w:tr>
        <w:trPr/>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w:t>
            </w:r>
          </w:p>
        </w:tc>
      </w:tr>
      <w:tr>
        <w:trPr/>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Pursuant to Rule 406T of Regulation S-T, the Interactive Data Files on Exhibit 101 hereto are deemed not filed or part of a registration statement or prospectus for purposes of Sections 11 or 12 of the Securities Act are deemed not filed for purposes of Section 18 of the Exchange Act and otherwise are not subject to liability under those sections. The financial information contained in the XBRL (eXtensible Business Reporting Language)-related documents is unaudited and unreviewed.</w:t>
      </w:r>
    </w:p>
    <w:p>
      <w:pPr>
        <w:pStyle w:val="TextBody"/>
        <w:bidi w:val="0"/>
        <w:spacing w:lineRule="auto" w:line="288" w:before="120" w:after="283"/>
        <w:jc w:val="left"/>
        <w:rPr>
          <w:color w:val="000000"/>
        </w:rPr>
      </w:pPr>
      <w:r>
        <w:rPr>
          <w:color w:val="000000"/>
        </w:rPr>
        <w:t xml:space="preserve">† </w:t>
      </w:r>
      <w:r>
        <w:rPr>
          <w:rFonts w:ascii="Times New Roman;serif" w:hAnsi="Times New Roman;serif"/>
          <w:b w:val="false"/>
          <w:color w:val="000000"/>
          <w:sz w:val="20"/>
        </w:rPr>
        <w:t>Certain of the schedules and exhibits have been omitted pursuant to Item 601(a)(5), Item 601(b)(2) or Item 601(b)(10) of Regulation S-K. The Company agrees to furnish an unredacted, supplemental copy (including any omitted schedule or attachment) to the SEC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120" w:after="283"/>
        <w:jc w:val="left"/>
        <w:rPr/>
      </w:pPr>
      <w:hyperlink w:anchor="id7326acc951741faa8737a821955168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9673" w:type="dxa"/>
        <w:jc w:val="left"/>
        <w:tblInd w:w="0" w:type="dxa"/>
        <w:tblLayout w:type="fixed"/>
        <w:tblCellMar>
          <w:top w:w="28" w:type="dxa"/>
          <w:left w:w="28" w:type="dxa"/>
          <w:bottom w:w="28" w:type="dxa"/>
          <w:right w:w="28" w:type="dxa"/>
        </w:tblCellMar>
      </w:tblPr>
      <w:tblGrid>
        <w:gridCol w:w="531"/>
        <w:gridCol w:w="468"/>
        <w:gridCol w:w="470"/>
        <w:gridCol w:w="2396"/>
        <w:gridCol w:w="2396"/>
        <w:gridCol w:w="3412"/>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3412"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Summit Midstream Corporation</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8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WILLIAM J. MAULT</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Mault, Executive Vice President and Chief Financial Officer (Principal Financial Officer)</w:t>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885"/>
                <wp:effectExtent l="0" t="0" r="0" b="0"/>
                <wp:wrapNone/>
                <wp:docPr id="55" name="Frame5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I, Heath Deneke, certify that:</w:t>
      </w:r>
    </w:p>
    <w:p>
      <w:pPr>
        <w:pStyle w:val="TextBody"/>
        <w:bidi w:val="0"/>
        <w:spacing w:lineRule="auto" w:line="288" w:before="160" w:after="283"/>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Summit Midstream Corporation;</w:t>
      </w:r>
    </w:p>
    <w:p>
      <w:pPr>
        <w:pStyle w:val="TextBody"/>
        <w:bidi w:val="0"/>
        <w:spacing w:lineRule="auto" w:line="288" w:before="160" w:after="283"/>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tbl>
      <w:tblPr>
        <w:tblW w:w="9176" w:type="dxa"/>
        <w:jc w:val="left"/>
        <w:tblInd w:w="0" w:type="dxa"/>
        <w:tblLayout w:type="fixed"/>
        <w:tblCellMar>
          <w:top w:w="28" w:type="dxa"/>
          <w:left w:w="28" w:type="dxa"/>
          <w:bottom w:w="28" w:type="dxa"/>
          <w:right w:w="28" w:type="dxa"/>
        </w:tblCellMar>
      </w:tblPr>
      <w:tblGrid>
        <w:gridCol w:w="211"/>
        <w:gridCol w:w="186"/>
        <w:gridCol w:w="188"/>
        <w:gridCol w:w="509"/>
        <w:gridCol w:w="509"/>
        <w:gridCol w:w="511"/>
        <w:gridCol w:w="109"/>
        <w:gridCol w:w="109"/>
        <w:gridCol w:w="109"/>
        <w:gridCol w:w="1967"/>
        <w:gridCol w:w="1967"/>
        <w:gridCol w:w="2801"/>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2801"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August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Heath Deneke</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Heath Deneke</w:t>
              <w:br/>
              <w:t>President, Chief Executive Officer and Director (Principal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73050"/>
                <wp:effectExtent l="0" t="0" r="0" b="0"/>
                <wp:wrapNone/>
                <wp:docPr id="56" name="Frame56"/>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31.1</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I, William J. Mault, certify that:</w:t>
      </w:r>
    </w:p>
    <w:p>
      <w:pPr>
        <w:pStyle w:val="TextBody"/>
        <w:bidi w:val="0"/>
        <w:spacing w:lineRule="auto" w:line="288" w:before="160" w:after="283"/>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Summit Midstream Corporation;</w:t>
      </w:r>
    </w:p>
    <w:p>
      <w:pPr>
        <w:pStyle w:val="TextBody"/>
        <w:bidi w:val="0"/>
        <w:spacing w:lineRule="auto" w:line="288" w:before="160" w:after="283"/>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before="120" w:after="283"/>
        <w:jc w:val="left"/>
        <w:rPr/>
      </w:pPr>
      <w:r>
        <w:rPr/>
      </w:r>
    </w:p>
    <w:tbl>
      <w:tblPr>
        <w:tblW w:w="9581" w:type="dxa"/>
        <w:jc w:val="left"/>
        <w:tblInd w:w="0" w:type="dxa"/>
        <w:tblLayout w:type="fixed"/>
        <w:tblCellMar>
          <w:top w:w="28" w:type="dxa"/>
          <w:left w:w="28" w:type="dxa"/>
          <w:bottom w:w="28" w:type="dxa"/>
          <w:right w:w="28" w:type="dxa"/>
        </w:tblCellMar>
      </w:tblPr>
      <w:tblGrid>
        <w:gridCol w:w="211"/>
        <w:gridCol w:w="186"/>
        <w:gridCol w:w="188"/>
        <w:gridCol w:w="509"/>
        <w:gridCol w:w="509"/>
        <w:gridCol w:w="511"/>
        <w:gridCol w:w="109"/>
        <w:gridCol w:w="109"/>
        <w:gridCol w:w="109"/>
        <w:gridCol w:w="2081"/>
        <w:gridCol w:w="2081"/>
        <w:gridCol w:w="2978"/>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2978"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August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William J. Mault</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William J. Mault</w:t>
              <w:br/>
              <w:t>Executive Vice President and Chief Financial Officer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73050"/>
                <wp:effectExtent l="0" t="0" r="0" b="0"/>
                <wp:wrapNone/>
                <wp:docPr id="57" name="Frame57"/>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31.2</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CERTIFICATION PURSUANT TO 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In connection with the quarterly report on Form 10-Q of Summit Midstream Corporation (the “Registrant”) for the quarterly period ended June 30, 2026, as filed with the Securities and Exchange Commission on the date hereof (the “Report”), the undersigned, Heath Deneke, as President, Chief Executive Officer and Director of the Registrant, and William J. Mault, as Executive Vice President and Chief Financial Officer of the Registrant, each hereby certify, pursuant to 18 U.S.C. Section 1350, as adopted pursuant to Section 906 of the Sarbanes-Oxley Act of 2002, that, to his knowledge:</w:t>
      </w:r>
    </w:p>
    <w:p>
      <w:pPr>
        <w:pStyle w:val="TextBody"/>
        <w:bidi w:val="0"/>
        <w:spacing w:lineRule="auto" w:line="288" w:before="200" w:after="283"/>
        <w:ind w:left="0" w:right="0" w:hanging="90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as amended; and</w:t>
      </w:r>
    </w:p>
    <w:p>
      <w:pPr>
        <w:pStyle w:val="TextBody"/>
        <w:bidi w:val="0"/>
        <w:spacing w:lineRule="auto" w:line="288" w:before="200" w:after="283"/>
        <w:ind w:left="0" w:right="0" w:hanging="90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Registrant.</w:t>
      </w:r>
    </w:p>
    <w:tbl>
      <w:tblPr>
        <w:tblW w:w="5448" w:type="dxa"/>
        <w:jc w:val="left"/>
        <w:tblInd w:w="0" w:type="dxa"/>
        <w:tblLayout w:type="fixed"/>
        <w:tblCellMar>
          <w:top w:w="28" w:type="dxa"/>
          <w:left w:w="28" w:type="dxa"/>
          <w:bottom w:w="28" w:type="dxa"/>
          <w:right w:w="28" w:type="dxa"/>
        </w:tblCellMar>
      </w:tblPr>
      <w:tblGrid>
        <w:gridCol w:w="249"/>
        <w:gridCol w:w="220"/>
        <w:gridCol w:w="221"/>
        <w:gridCol w:w="176"/>
        <w:gridCol w:w="176"/>
        <w:gridCol w:w="176"/>
        <w:gridCol w:w="1236"/>
        <w:gridCol w:w="1236"/>
        <w:gridCol w:w="1758"/>
      </w:tblGrid>
      <w:tr>
        <w:trP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r>
      <w:tr>
        <w:trPr/>
        <w:tc>
          <w:tcPr>
            <w:tcW w:w="5448"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/s/ Heath Deneke</w:t>
            </w:r>
          </w:p>
        </w:tc>
      </w:tr>
      <w:tr>
        <w:trPr/>
        <w:tc>
          <w:tcPr>
            <w:tcW w:w="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Heath Deneke</w:t>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President, Chief Executive Officer and Director</w:t>
              <w:br/>
              <w:t>(Principal Executive Officer)</w:t>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August 10, 2026</w:t>
            </w:r>
          </w:p>
        </w:tc>
      </w:tr>
    </w:tbl>
    <w:tbl>
      <w:tblPr>
        <w:tblW w:w="6054" w:type="dxa"/>
        <w:jc w:val="center"/>
        <w:tblInd w:w="0" w:type="dxa"/>
        <w:tblLayout w:type="fixed"/>
        <w:tblCellMar>
          <w:top w:w="28" w:type="dxa"/>
          <w:left w:w="28" w:type="dxa"/>
          <w:bottom w:w="28" w:type="dxa"/>
          <w:right w:w="28" w:type="dxa"/>
        </w:tblCellMar>
      </w:tblPr>
      <w:tblGrid>
        <w:gridCol w:w="249"/>
        <w:gridCol w:w="220"/>
        <w:gridCol w:w="221"/>
        <w:gridCol w:w="193"/>
        <w:gridCol w:w="193"/>
        <w:gridCol w:w="193"/>
        <w:gridCol w:w="1397"/>
        <w:gridCol w:w="1397"/>
        <w:gridCol w:w="1991"/>
      </w:tblGrid>
      <w:tr>
        <w:trP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r>
      <w:tr>
        <w:trPr/>
        <w:tc>
          <w:tcPr>
            <w:tcW w:w="6054"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/s/ William J. Mault</w:t>
            </w:r>
          </w:p>
        </w:tc>
      </w:tr>
      <w:tr>
        <w:trPr/>
        <w:tc>
          <w:tcPr>
            <w:tcW w:w="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William J. Mault</w:t>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Executive Vice President and Chief Financial Officer </w:t>
              <w:br/>
              <w:t>(Principal Financial Officer)</w:t>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August 10, 2026</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73050"/>
                <wp:effectExtent l="0" t="0" r="0" b="0"/>
                <wp:wrapNone/>
                <wp:docPr id="58" name="Frame58"/>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32.1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24218/000101376224003515/ea021024101ex3-1_summit.htm" TargetMode="External"/><Relationship Id="rId3" Type="http://schemas.openxmlformats.org/officeDocument/2006/relationships/hyperlink" Target="https://www.sec.gov/Archives/edgar/data/2024218/000101376224003515/ea021024101ex3-1_summit.htm" TargetMode="External"/><Relationship Id="rId4" Type="http://schemas.openxmlformats.org/officeDocument/2006/relationships/hyperlink" Target="https://www.sec.gov/Archives/edgar/data/2024218/000101376224003515/ea021024101ex3-2_summit.htm" TargetMode="External"/><Relationship Id="rId5" Type="http://schemas.openxmlformats.org/officeDocument/2006/relationships/hyperlink" Target="https://www.sec.gov/Archives/edgar/data/2024218/000101376224003515/ea021024101ex3-2_summit.htm" TargetMode="External"/><Relationship Id="rId6" Type="http://schemas.openxmlformats.org/officeDocument/2006/relationships/hyperlink" Target="https://www.sec.gov/Archives/edgar/data/2024218/000101376224003515/ea021024101ex3-3_summit.htm" TargetMode="External"/><Relationship Id="rId7" Type="http://schemas.openxmlformats.org/officeDocument/2006/relationships/hyperlink" Target="https://www.sec.gov/Archives/edgar/data/2024218/000101376224003515/ea021024101ex3-3_summit.htm" TargetMode="External"/><Relationship Id="rId8" Type="http://schemas.openxmlformats.org/officeDocument/2006/relationships/hyperlink" Target="https://www.sec.gov/Archives/edgar/data/1549922/000101376224001777/ea021008501ex4-1_summit.htm" TargetMode="External"/><Relationship Id="rId9" Type="http://schemas.openxmlformats.org/officeDocument/2006/relationships/hyperlink" Target="https://www.sec.gov/Archives/edgar/data/2024218/000202421824000041/exhibit31-summitmidstrea.htm" TargetMode="External"/><Relationship Id="rId10" Type="http://schemas.openxmlformats.org/officeDocument/2006/relationships/hyperlink" Target="https://www.sec.gov/Archives/edgar/data/2024218/000202421826000062/ex101-securitiespurchaseag.htm" TargetMode="External"/><Relationship Id="rId11" Type="http://schemas.openxmlformats.org/officeDocument/2006/relationships/hyperlink" Target="https://www.sec.gov/Archives/edgar/data/2024218/000121390026073109/ea029604701ex4-6.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27443</Words>
  <Characters>152944</Characters>
  <CharactersWithSpaces>178431</CharactersWithSpaces>
  <Paragraphs>3735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