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Report (Date of earliest event reported): August 8, 2024</w:t>
      </w:r>
    </w:p>
    <w:p>
      <w:pPr>
        <w:spacing w:after="0" w:line="1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Summit Midstream Partners, LP</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001-35666</w:t>
            </w:r>
          </w:p>
        </w:tc>
        <w:tc>
          <w:tcPr>
            <w:tcW w:w="16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99-3056990</w:t>
            </w:r>
          </w:p>
        </w:tc>
      </w:tr>
      <w:tr>
        <w:trPr>
          <w:trHeight w:val="229"/>
        </w:trPr>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w:t>
            </w:r>
          </w:p>
        </w:tc>
        <w:tc>
          <w:tcPr>
            <w:tcW w:w="1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64"/>
        </w:trPr>
        <w:tc>
          <w:tcPr>
            <w:tcW w:w="2020" w:type="dxa"/>
            <w:vAlign w:val="bottom"/>
          </w:tcPr>
          <w:p>
            <w:pPr>
              <w:spacing w:after="0"/>
              <w:rPr>
                <w:sz w:val="24"/>
                <w:szCs w:val="24"/>
                <w:color w:val="auto"/>
              </w:rPr>
            </w:pPr>
          </w:p>
        </w:tc>
        <w:tc>
          <w:tcPr>
            <w:tcW w:w="5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910 Louisiana Street, Suite 4200</w:t>
            </w:r>
          </w:p>
        </w:tc>
        <w:tc>
          <w:tcPr>
            <w:tcW w:w="1600" w:type="dxa"/>
            <w:vAlign w:val="bottom"/>
          </w:tcPr>
          <w:p>
            <w:pPr>
              <w:spacing w:after="0"/>
              <w:rPr>
                <w:sz w:val="24"/>
                <w:szCs w:val="24"/>
                <w:color w:val="auto"/>
              </w:rPr>
            </w:pPr>
          </w:p>
        </w:tc>
      </w:tr>
      <w:tr>
        <w:trPr>
          <w:trHeight w:val="220"/>
        </w:trPr>
        <w:tc>
          <w:tcPr>
            <w:tcW w:w="2020" w:type="dxa"/>
            <w:vAlign w:val="bottom"/>
          </w:tcPr>
          <w:p>
            <w:pPr>
              <w:spacing w:after="0"/>
              <w:rPr>
                <w:sz w:val="19"/>
                <w:szCs w:val="19"/>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Houston, TX 77002</w:t>
            </w:r>
          </w:p>
        </w:tc>
        <w:tc>
          <w:tcPr>
            <w:tcW w:w="1600" w:type="dxa"/>
            <w:vAlign w:val="bottom"/>
          </w:tcPr>
          <w:p>
            <w:pPr>
              <w:spacing w:after="0"/>
              <w:rPr>
                <w:sz w:val="19"/>
                <w:szCs w:val="19"/>
                <w:color w:val="auto"/>
              </w:rPr>
            </w:pPr>
          </w:p>
        </w:tc>
      </w:tr>
      <w:tr>
        <w:trPr>
          <w:trHeight w:val="234"/>
        </w:trPr>
        <w:tc>
          <w:tcPr>
            <w:tcW w:w="2020" w:type="dxa"/>
            <w:vAlign w:val="bottom"/>
          </w:tcPr>
          <w:p>
            <w:pPr>
              <w:spacing w:after="0"/>
              <w:rPr>
                <w:sz w:val="20"/>
                <w:szCs w:val="20"/>
                <w:color w:val="auto"/>
              </w:rPr>
            </w:pPr>
          </w:p>
        </w:tc>
        <w:tc>
          <w:tcPr>
            <w:tcW w:w="5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(Address of principal executive office) (Zip Code)</w:t>
            </w:r>
          </w:p>
        </w:tc>
        <w:tc>
          <w:tcPr>
            <w:tcW w:w="1600" w:type="dxa"/>
            <w:vAlign w:val="bottom"/>
          </w:tcPr>
          <w:p>
            <w:pPr>
              <w:spacing w:after="0"/>
              <w:rPr>
                <w:sz w:val="20"/>
                <w:szCs w:val="20"/>
                <w:color w:val="auto"/>
              </w:rPr>
            </w:pPr>
          </w:p>
        </w:tc>
      </w:tr>
      <w:tr>
        <w:trPr>
          <w:trHeight w:val="405"/>
        </w:trPr>
        <w:tc>
          <w:tcPr>
            <w:tcW w:w="2020" w:type="dxa"/>
            <w:vAlign w:val="bottom"/>
          </w:tcPr>
          <w:p>
            <w:pPr>
              <w:spacing w:after="0"/>
              <w:rPr>
                <w:sz w:val="24"/>
                <w:szCs w:val="24"/>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(832) 413-4770</w:t>
            </w:r>
          </w:p>
        </w:tc>
        <w:tc>
          <w:tcPr>
            <w:tcW w:w="1600" w:type="dxa"/>
            <w:vAlign w:val="bottom"/>
          </w:tcPr>
          <w:p>
            <w:pPr>
              <w:spacing w:after="0"/>
              <w:rPr>
                <w:sz w:val="24"/>
                <w:szCs w:val="24"/>
                <w:color w:val="auto"/>
              </w:rPr>
            </w:pPr>
          </w:p>
        </w:tc>
      </w:tr>
      <w:tr>
        <w:trPr>
          <w:trHeight w:val="373"/>
        </w:trPr>
        <w:tc>
          <w:tcPr>
            <w:tcW w:w="2020" w:type="dxa"/>
            <w:vAlign w:val="bottom"/>
          </w:tcPr>
          <w:p>
            <w:pPr>
              <w:spacing w:after="0"/>
              <w:rPr>
                <w:sz w:val="24"/>
                <w:szCs w:val="24"/>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00" w:type="dxa"/>
            <w:vAlign w:val="bottom"/>
          </w:tcPr>
          <w:p>
            <w:pPr>
              <w:spacing w:after="0"/>
              <w:rPr>
                <w:sz w:val="24"/>
                <w:szCs w:val="24"/>
                <w:color w:val="auto"/>
              </w:rPr>
            </w:pPr>
          </w:p>
        </w:tc>
      </w:tr>
      <w:tr>
        <w:trPr>
          <w:trHeight w:val="234"/>
        </w:trPr>
        <w:tc>
          <w:tcPr>
            <w:tcW w:w="2020" w:type="dxa"/>
            <w:vAlign w:val="bottom"/>
          </w:tcPr>
          <w:p>
            <w:pPr>
              <w:spacing w:after="0"/>
              <w:rPr>
                <w:sz w:val="20"/>
                <w:szCs w:val="20"/>
                <w:color w:val="auto"/>
              </w:rPr>
            </w:pPr>
          </w:p>
        </w:tc>
        <w:tc>
          <w:tcPr>
            <w:tcW w:w="5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00" w:type="dxa"/>
            <w:vAlign w:val="bottom"/>
          </w:tcPr>
          <w:p>
            <w:pPr>
              <w:spacing w:after="0"/>
              <w:rPr>
                <w:sz w:val="20"/>
                <w:szCs w:val="20"/>
                <w:color w:val="auto"/>
              </w:rPr>
            </w:pPr>
          </w:p>
        </w:tc>
      </w:tr>
    </w:tbl>
    <w:p>
      <w:pPr>
        <w:spacing w:after="0" w:line="157"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Wingdings" w:cs="Wingdings" w:eastAsia="Wingdings" w:hAnsi="Wingdings"/>
          <w:sz w:val="18"/>
          <w:szCs w:val="18"/>
          <w:b w:val="1"/>
          <w:bCs w:val="1"/>
          <w:color w:val="auto"/>
        </w:rPr>
      </w:pPr>
    </w:p>
    <w:p>
      <w:pPr>
        <w:ind w:left="380" w:hanging="354"/>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Securities Act:</w:t>
      </w:r>
    </w:p>
    <w:p>
      <w:pPr>
        <w:spacing w:after="0" w:line="80"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37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Units</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SMLP</w:t>
            </w:r>
          </w:p>
        </w:tc>
        <w:tc>
          <w:tcPr>
            <w:tcW w:w="3440" w:type="dxa"/>
            <w:vAlign w:val="bottom"/>
            <w:tcBorders>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New York Stock Exchange *</w:t>
            </w:r>
          </w:p>
        </w:tc>
      </w:tr>
    </w:tbl>
    <w:p>
      <w:pPr>
        <w:spacing w:after="0" w:line="81" w:lineRule="exact"/>
        <w:rPr>
          <w:sz w:val="24"/>
          <w:szCs w:val="24"/>
          <w:color w:val="auto"/>
        </w:rPr>
      </w:pPr>
    </w:p>
    <w:p>
      <w:pPr>
        <w:ind w:firstLine="8"/>
        <w:spacing w:after="0" w:line="280" w:lineRule="auto"/>
        <w:tabs>
          <w:tab w:leader="none" w:pos="121"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Common Units are currently registered pursuant to Section 12(b) of the Act. On August 1, 2024, the New York Stock Exchange filed a Form 25-NSE with the United States Securities and Exchange Commission, which will delist the Common Units from the New York Stock Exchange on August 11, 2024.</w:t>
      </w:r>
    </w:p>
    <w:p>
      <w:pPr>
        <w:spacing w:after="0" w:line="70" w:lineRule="exact"/>
        <w:rPr>
          <w:sz w:val="24"/>
          <w:szCs w:val="24"/>
          <w:color w:val="auto"/>
        </w:rPr>
      </w:pPr>
    </w:p>
    <w:p>
      <w:pPr>
        <w:ind w:right="44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6420"/>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b w:val="1"/>
          <w:bCs w:val="1"/>
          <w:color w:val="auto"/>
        </w:rPr>
        <w:t>o</w:t>
      </w:r>
    </w:p>
    <w:p>
      <w:pPr>
        <w:spacing w:after="0" w:line="181" w:lineRule="exact"/>
        <w:rPr>
          <w:sz w:val="24"/>
          <w:szCs w:val="24"/>
          <w:color w:val="auto"/>
        </w:rPr>
      </w:pPr>
    </w:p>
    <w:p>
      <w:pPr>
        <w:ind w:right="54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4"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August 8, 2024, Summit Midstream Corporation (NYSE: SMC), a Delaware corporation (“SMC”), issued a press release announcing the results of operations of Summit Midstream Partners, LP, a Delaware limited partnership and a wholly-owned subsidiary of SMC, for the three months ended June 30, 2024. A copy of the press release is furnished as Exhibit 99.1 to this Current Report on Form 8-K.</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Item 2.02 shall not be deemed “filed” for purposes of the Securities Exchange Act of 1934, as amended (the “Exchange Act”), and shall not be deemed incorporated by reference in any filing with the Securities and Exchange Commission, whether or not filed under the Securities Act of 1933, as amended, or the Exchange Act, regardless of any general incorporation language in such document.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704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60" w:type="dxa"/>
            <w:vAlign w:val="bottom"/>
            <w:tcBorders>
              <w:bottom w:val="single" w:sz="8" w:color="CCEEFF"/>
            </w:tcBorders>
            <w:vMerge w:val="restart"/>
            <w:shd w:val="clear" w:color="auto" w:fill="CCEEFF"/>
          </w:tcPr>
          <w:p>
            <w:pPr>
              <w:spacing w:after="0"/>
              <w:rPr>
                <w:sz w:val="15"/>
                <w:szCs w:val="15"/>
                <w:color w:val="auto"/>
              </w:rPr>
            </w:pPr>
          </w:p>
        </w:tc>
        <w:tc>
          <w:tcPr>
            <w:tcW w:w="320" w:type="dxa"/>
            <w:vAlign w:val="bottom"/>
            <w:tcBorders>
              <w:bottom w:val="single" w:sz="8" w:color="0000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540" w:type="dxa"/>
            <w:vAlign w:val="bottom"/>
            <w:tcBorders>
              <w:bottom w:val="single" w:sz="8" w:color="CCEEFF"/>
            </w:tcBorders>
            <w:vMerge w:val="restart"/>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720" w:type="dxa"/>
            <w:vAlign w:val="bottom"/>
            <w:tcBorders>
              <w:bottom w:val="single" w:sz="8" w:color="CCEEFF"/>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Press Release, dated August 8, 2024.</w:t>
            </w:r>
          </w:p>
        </w:tc>
        <w:tc>
          <w:tcPr>
            <w:tcW w:w="0" w:type="dxa"/>
            <w:vAlign w:val="bottom"/>
          </w:tcPr>
          <w:p>
            <w:pPr>
              <w:spacing w:after="0"/>
              <w:rPr>
                <w:sz w:val="1"/>
                <w:szCs w:val="1"/>
                <w:color w:val="auto"/>
              </w:rPr>
            </w:pPr>
          </w:p>
        </w:tc>
      </w:tr>
      <w:tr>
        <w:trPr>
          <w:trHeight w:val="34"/>
        </w:trPr>
        <w:tc>
          <w:tcPr>
            <w:tcW w:w="560" w:type="dxa"/>
            <w:vAlign w:val="bottom"/>
            <w:vMerge w:val="continue"/>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40" w:type="dxa"/>
            <w:vAlign w:val="bottom"/>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720" w:type="dxa"/>
            <w:vAlign w:val="bottom"/>
            <w:gridSpan w:val="3"/>
            <w:vMerge w:val="continue"/>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5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60" w:type="dxa"/>
            <w:vAlign w:val="bottom"/>
            <w:tcBorders>
              <w:top w:val="single" w:sz="8" w:color="0000FF"/>
            </w:tcBorders>
            <w:shd w:val="clear" w:color="auto" w:fill="CCEEFF"/>
          </w:tcPr>
          <w:p>
            <w:pPr>
              <w:spacing w:after="0"/>
              <w:rPr>
                <w:sz w:val="6"/>
                <w:szCs w:val="6"/>
                <w:color w:val="auto"/>
              </w:rPr>
            </w:pPr>
          </w:p>
        </w:tc>
        <w:tc>
          <w:tcPr>
            <w:tcW w:w="70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ind w:left="1540" w:hanging="958"/>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Summit Midstream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17145</wp:posOffset>
            </wp:positionV>
            <wp:extent cx="38576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1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(Registrant)</w:t>
      </w:r>
    </w:p>
    <w:p>
      <w:pPr>
        <w:spacing w:after="0" w:line="279" w:lineRule="exact"/>
        <w:rPr>
          <w:sz w:val="20"/>
          <w:szCs w:val="20"/>
          <w:color w:val="auto"/>
        </w:rPr>
      </w:pPr>
    </w:p>
    <w:p>
      <w:pPr>
        <w:ind w:left="5180"/>
        <w:spacing w:after="0"/>
        <w:tabs>
          <w:tab w:leader="none" w:pos="5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Summit Midstream GP, LLC (its general partner)</w:t>
      </w:r>
    </w:p>
    <w:p>
      <w:pPr>
        <w:spacing w:after="0" w:line="277" w:lineRule="exact"/>
        <w:rPr>
          <w:sz w:val="20"/>
          <w:szCs w:val="20"/>
          <w:color w:val="auto"/>
        </w:rPr>
      </w:pPr>
    </w:p>
    <w:p>
      <w:pPr>
        <w:ind w:left="40"/>
        <w:spacing w:after="0"/>
        <w:tabs>
          <w:tab w:leader="none" w:pos="720" w:val="left"/>
          <w:tab w:leader="none" w:pos="5160" w:val="left"/>
        </w:tabs>
        <w:rPr>
          <w:sz w:val="20"/>
          <w:szCs w:val="20"/>
          <w:color w:val="auto"/>
        </w:rPr>
      </w:pPr>
      <w:r>
        <w:rPr>
          <w:rFonts w:ascii="Times New Roman" w:cs="Times New Roman" w:eastAsia="Times New Roman" w:hAnsi="Times New Roman"/>
          <w:sz w:val="18"/>
          <w:szCs w:val="18"/>
          <w:color w:val="auto"/>
        </w:rPr>
        <w:t>Dated:</w:t>
        <w:tab/>
        <w:t>August 9, 2024</w:t>
      </w:r>
      <w:r>
        <w:rPr>
          <w:sz w:val="20"/>
          <w:szCs w:val="20"/>
          <w:color w:val="auto"/>
        </w:rPr>
        <w:tab/>
      </w:r>
      <w:r>
        <w:rPr>
          <w:rFonts w:ascii="Times New Roman" w:cs="Times New Roman" w:eastAsia="Times New Roman" w:hAnsi="Times New Roman"/>
          <w:sz w:val="18"/>
          <w:szCs w:val="18"/>
          <w:i w:val="1"/>
          <w:iCs w:val="1"/>
          <w:color w:val="auto"/>
        </w:rPr>
        <w:t>/s/ Matthew B. Sicinski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18415</wp:posOffset>
            </wp:positionV>
            <wp:extent cx="38576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1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Matthew B. Sicinski, Senior Vice President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92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482600</wp:posOffset>
            </wp:positionV>
            <wp:extent cx="1859915" cy="591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991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260"/>
        <w:spacing w:after="0"/>
        <w:rPr>
          <w:sz w:val="20"/>
          <w:szCs w:val="20"/>
          <w:color w:val="auto"/>
        </w:rPr>
      </w:pPr>
      <w:r>
        <w:rPr>
          <w:rFonts w:ascii="Arial" w:cs="Arial" w:eastAsia="Arial" w:hAnsi="Arial"/>
          <w:sz w:val="16"/>
          <w:szCs w:val="16"/>
          <w:color w:val="1F497D"/>
        </w:rPr>
        <w:t>Summit Midstream Corporation</w:t>
      </w:r>
    </w:p>
    <w:p>
      <w:pPr>
        <w:spacing w:after="0" w:line="21" w:lineRule="exact"/>
        <w:rPr>
          <w:sz w:val="20"/>
          <w:szCs w:val="20"/>
          <w:color w:val="auto"/>
        </w:rPr>
      </w:pPr>
    </w:p>
    <w:p>
      <w:pPr>
        <w:jc w:val="right"/>
        <w:ind w:right="260"/>
        <w:spacing w:after="0"/>
        <w:rPr>
          <w:sz w:val="20"/>
          <w:szCs w:val="20"/>
          <w:color w:val="auto"/>
        </w:rPr>
      </w:pPr>
      <w:r>
        <w:rPr>
          <w:rFonts w:ascii="Arial" w:cs="Arial" w:eastAsia="Arial" w:hAnsi="Arial"/>
          <w:sz w:val="16"/>
          <w:szCs w:val="16"/>
          <w:color w:val="1F497D"/>
        </w:rPr>
        <w:t>910 Louisiana Street, Suite 4200</w:t>
      </w:r>
    </w:p>
    <w:p>
      <w:pPr>
        <w:spacing w:after="0" w:line="5" w:lineRule="exact"/>
        <w:rPr>
          <w:sz w:val="20"/>
          <w:szCs w:val="20"/>
          <w:color w:val="auto"/>
        </w:rPr>
      </w:pPr>
    </w:p>
    <w:p>
      <w:pPr>
        <w:jc w:val="right"/>
        <w:ind w:right="260"/>
        <w:spacing w:after="0"/>
        <w:rPr>
          <w:sz w:val="20"/>
          <w:szCs w:val="20"/>
          <w:color w:val="auto"/>
        </w:rPr>
      </w:pPr>
      <w:r>
        <w:rPr>
          <w:rFonts w:ascii="Arial" w:cs="Arial" w:eastAsia="Arial" w:hAnsi="Arial"/>
          <w:sz w:val="16"/>
          <w:szCs w:val="16"/>
          <w:color w:val="1F497D"/>
        </w:rPr>
        <w:t>Houston, TX 77002</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Summit Midstream Corporation Reports Second Quarter 2024</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and Operating Results of Summit Midstream Partners, LP</w:t>
      </w:r>
    </w:p>
    <w:p>
      <w:pPr>
        <w:spacing w:after="0" w:line="8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Houston, Texas (August 8, 2024) – Summit Midstream Corporation (NYSE: SMC) (“Summit”, “SMC” or the “Company”) announced today the financial and operating results of Summit Midstream Partners, LP ("SMLP"), a wholly-owned subsidiary of the Company, for the three months ended June 30, 2024.</w:t>
      </w:r>
      <w:r>
        <w:rPr>
          <w:rFonts w:ascii="Arial" w:cs="Arial" w:eastAsia="Arial" w:hAnsi="Arial"/>
          <w:sz w:val="23"/>
          <w:szCs w:val="23"/>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04" w:lineRule="exact"/>
        <w:rPr>
          <w:sz w:val="20"/>
          <w:szCs w:val="20"/>
          <w:color w:val="auto"/>
        </w:rPr>
      </w:pPr>
    </w:p>
    <w:p>
      <w:pPr>
        <w:ind w:left="660" w:right="180" w:hanging="328"/>
        <w:spacing w:after="0" w:line="27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Second quarter 2024 net loss of $23.8 million, adjusted EBITDA of $43.1 million, cash flow available for distributions ("Distributable Cash Flow" or “DCF”) of $11.7 million and free cash flow (“FCF”) of $2.7 million</w:t>
      </w:r>
    </w:p>
    <w:p>
      <w:pPr>
        <w:spacing w:after="0" w:line="86" w:lineRule="exact"/>
        <w:rPr>
          <w:rFonts w:ascii="Arial" w:cs="Arial" w:eastAsia="Arial" w:hAnsi="Arial"/>
          <w:sz w:val="18"/>
          <w:szCs w:val="18"/>
          <w:color w:val="auto"/>
        </w:rPr>
      </w:pPr>
    </w:p>
    <w:p>
      <w:pPr>
        <w:ind w:left="660" w:hanging="328"/>
        <w:spacing w:after="0" w:line="237"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Connected 34 wells during the second quarter and maintained an active customer base with three drilling rigs and more than 100 drilled but uncompleted wells (“DUCs”) behind our systems</w:t>
      </w:r>
    </w:p>
    <w:p>
      <w:pPr>
        <w:spacing w:after="0" w:line="72" w:lineRule="exact"/>
        <w:rPr>
          <w:rFonts w:ascii="Arial" w:cs="Arial" w:eastAsia="Arial" w:hAnsi="Arial"/>
          <w:sz w:val="22"/>
          <w:szCs w:val="22"/>
          <w:color w:val="auto"/>
        </w:rPr>
      </w:pPr>
    </w:p>
    <w:p>
      <w:pPr>
        <w:jc w:val="both"/>
        <w:ind w:left="660" w:right="20" w:hanging="328"/>
        <w:spacing w:after="0" w:line="24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 execution of an upsized $500 million asset-based revolving credit facility (the “A&amp;R ABL Facility”) and $575 million in aggregate principal amount of new 8.625% Senior Secured Second Lien Notes due 2029 (the "2029 Notes") expected to provide Summit with meaningfully improved financial flexibility</w:t>
      </w:r>
    </w:p>
    <w:p>
      <w:pPr>
        <w:spacing w:after="0" w:line="108" w:lineRule="exact"/>
        <w:rPr>
          <w:rFonts w:ascii="Arial" w:cs="Arial" w:eastAsia="Arial" w:hAnsi="Arial"/>
          <w:sz w:val="18"/>
          <w:szCs w:val="18"/>
          <w:color w:val="auto"/>
        </w:rPr>
      </w:pPr>
    </w:p>
    <w:p>
      <w:pPr>
        <w:ind w:left="660" w:right="20" w:hanging="328"/>
        <w:spacing w:after="0" w:line="230"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Successfully reorganized from a master limited partnership ("MLP") to a C-corporation which is expected to deliver significant tax benefits to shareholders, enhance trading liquidity and appeal to a broader investor universe</w:t>
      </w:r>
    </w:p>
    <w:p>
      <w:pPr>
        <w:spacing w:after="0" w:line="72"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Reiterated pro forma 2024 adjusted EBITDA guidance of $170 million to $200 million</w:t>
      </w:r>
      <w:r>
        <w:rPr>
          <w:rFonts w:ascii="Arial" w:cs="Arial" w:eastAsia="Arial" w:hAnsi="Arial"/>
          <w:sz w:val="23"/>
          <w:szCs w:val="23"/>
          <w:color w:val="auto"/>
          <w:vertAlign w:val="superscript"/>
        </w:rPr>
        <w:t>2</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Heath Deneke, President, Chief Executive Officer and Chairman, commented, “Summit has made considerable progress towards executing on its long-term strategy over the last four months. On July 26, 2024, Summit closed on a refinance of the capital structure, including a new $500 million ABL facility and a new $575 million Senior Secured Notes issue, both maturing in 2029. With this maturity extension and improved liquidity profile, Summit is well positioned with a strong balance sheet and additional financial flexibility to support execution of the base business plan, continue to pursue opportunistic, bolt-on acquisitions and continue to utilize our strong free cash flow generating platform to further reduce debt and achieve our long-term leverage target of 3.5x.</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on July 18, 2024, SMLP unitholders voted to approve the reorganization from an MLP to a C-corporation, and effective August 1, 2024, Summit and SMLP have successfully completed the reorganization to a C-corporation. We believe both activities were vital steps towards continued growth and success of Summit, and we are very pleased with the outcomes.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some operational downtime experienced in our Rockies segment, second quarter financial and operating results of SMLP were in line with management expectations. We continue to have an active customer base with three rigs currently running behind the systems and 34 wells turned-in-line during the second quarter, bringing total well count year-to-date to 105 wells. This level of activity has positioned Summit to have a strong second half of 2024 and we continue to expect to achieve our pro forma 2024 adjusted EBITDA guidance range of $170 million to $200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2024 Business Highlights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SMLP’s average daily natural gas throughput for its wholly owned operated systems decreased 46% to 716 MMcf/d, and liquids volumes increased 1.4% to 75 Mbbl/d, relative to the first quarter of 2024. The large decline in volume from the first quarter of 2024 is primarily due to the disposition of the Northeast segment. Double E Pipeline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0" w:lineRule="exact"/>
        <w:rPr>
          <w:sz w:val="20"/>
          <w:szCs w:val="20"/>
          <w:color w:val="auto"/>
        </w:rPr>
      </w:pPr>
    </w:p>
    <w:p>
      <w:pPr>
        <w:jc w:val="both"/>
        <w:ind w:right="100" w:firstLine="8"/>
        <w:spacing w:after="0" w:line="230" w:lineRule="auto"/>
        <w:tabs>
          <w:tab w:leader="none" w:pos="93"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previously announced, on August 1, 2024, SMC completed the previously announced transactions contemplated by the Agreement and Plan of Merger (the “Merger Agreement”), by and among the Company, Summit SMC NewCo, LLC (“Merger Sub”), a wholly-owned subsidiary of the Company, SMLP and Summit Midstream GP, LLC, the general partner of SMLP, pursuant to which Merger Sub merged with and into SMLP (the “Merger”), with SMLP continuing as the surviving entity and a wholly-owned subsidiary of the Company (the “Corporate Reorganization”).</w:t>
      </w:r>
    </w:p>
    <w:p>
      <w:pPr>
        <w:spacing w:after="0"/>
        <w:rPr>
          <w:rFonts w:ascii="Times New Roman" w:cs="Times New Roman" w:eastAsia="Times New Roman" w:hAnsi="Times New Roman"/>
          <w:sz w:val="21"/>
          <w:szCs w:val="21"/>
          <w:color w:val="auto"/>
          <w:vertAlign w:val="superscript"/>
        </w:rPr>
      </w:pPr>
      <w:r>
        <w:rPr>
          <w:rFonts w:ascii="Arial" w:cs="Arial" w:eastAsia="Arial" w:hAnsi="Arial"/>
          <w:sz w:val="23"/>
          <w:szCs w:val="23"/>
          <w:color w:val="auto"/>
          <w:vertAlign w:val="superscript"/>
        </w:rPr>
        <w:t>2</w:t>
      </w:r>
      <w:r>
        <w:rPr>
          <w:rFonts w:ascii="Times New Roman" w:cs="Times New Roman" w:eastAsia="Times New Roman" w:hAnsi="Times New Roman"/>
          <w:sz w:val="16"/>
          <w:szCs w:val="16"/>
          <w:color w:val="auto"/>
        </w:rPr>
        <w:t xml:space="preserve"> Represents pro forma Adjusted EBITDA assuming the Utica Transaction and Mountaineer Transaction each closed on December 31, 2023.</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volumes transported increased from 467 MMcf/d to 549 MMcf/d, an 18% increase quarter-over-quarter and generated $7.8 million of adjusted EBITDA, net to SMLP, for the second quarter of 2024.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Natural gas price-driven segments</w:t>
      </w:r>
      <w:r>
        <w:rPr>
          <w:rFonts w:ascii="Arial" w:cs="Arial" w:eastAsia="Arial" w:hAnsi="Arial"/>
          <w:sz w:val="18"/>
          <w:szCs w:val="18"/>
          <w:b w:val="1"/>
          <w:bCs w:val="1"/>
          <w:color w:val="auto"/>
        </w:rPr>
        <w:t>:</w:t>
      </w:r>
    </w:p>
    <w:p>
      <w:pPr>
        <w:spacing w:after="0" w:line="198" w:lineRule="exact"/>
        <w:rPr>
          <w:sz w:val="20"/>
          <w:szCs w:val="20"/>
          <w:color w:val="auto"/>
        </w:rPr>
      </w:pPr>
    </w:p>
    <w:p>
      <w:pPr>
        <w:jc w:val="both"/>
        <w:ind w:left="660" w:hanging="328"/>
        <w:spacing w:after="0" w:line="242"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Natural gas price-driven segments had combined quarterly segment adjusted EBITDA of $19.9 million, representing a 59.7% decrease relative to the first quarter, primarily due to the disposition of the Northeast segment and combined capital expenditures of $1.6 million in the second quarter of 2024.</w:t>
      </w:r>
    </w:p>
    <w:p>
      <w:pPr>
        <w:spacing w:after="0" w:line="124" w:lineRule="exact"/>
        <w:rPr>
          <w:rFonts w:ascii="Arial" w:cs="Arial" w:eastAsia="Arial" w:hAnsi="Arial"/>
          <w:sz w:val="22"/>
          <w:szCs w:val="22"/>
          <w:color w:val="auto"/>
        </w:rPr>
      </w:pPr>
    </w:p>
    <w:p>
      <w:pPr>
        <w:jc w:val="both"/>
        <w:ind w:left="660" w:hanging="328"/>
        <w:spacing w:after="0" w:line="244"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Summit has fully exited the Northeast segment through the divestitures of Summit Midstream Utica, LLC, which included its approximately 36% interest in Ohio Gathering Company, LLC ("OGC"), approximately 38% interest in Ohio Condensate Company, LLC (collectively with OGC, "Ohio Gathering") and Summit Midstream Utica assets to a subsidiary of MPLX LP and divestiture of Mountaineer Midstream, LLC, a wholly owned subsidiary of SMLP, to Antero Midstream LLC.</w:t>
      </w:r>
    </w:p>
    <w:p>
      <w:pPr>
        <w:spacing w:after="0" w:line="124" w:lineRule="exact"/>
        <w:rPr>
          <w:rFonts w:ascii="Arial" w:cs="Arial" w:eastAsia="Arial" w:hAnsi="Arial"/>
          <w:sz w:val="22"/>
          <w:szCs w:val="22"/>
          <w:color w:val="auto"/>
        </w:rPr>
      </w:pPr>
    </w:p>
    <w:p>
      <w:pPr>
        <w:jc w:val="both"/>
        <w:ind w:left="660" w:right="20" w:hanging="328"/>
        <w:spacing w:after="0" w:line="242"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Piceance segment adjusted EBITDA totaled $12.8 million, a decrease of $2.4 million from the first quarter of 2024, primarily due to a 7.4% decrease in volume throughput, approximately $1.0 million of known contractual step-downs, $0.2 million of lower condensate sales and no new wells connected to the system during the quarter.</w:t>
      </w:r>
    </w:p>
    <w:p>
      <w:pPr>
        <w:spacing w:after="0" w:line="124" w:lineRule="exact"/>
        <w:rPr>
          <w:rFonts w:ascii="Arial" w:cs="Arial" w:eastAsia="Arial" w:hAnsi="Arial"/>
          <w:sz w:val="22"/>
          <w:szCs w:val="22"/>
          <w:color w:val="auto"/>
        </w:rPr>
      </w:pPr>
    </w:p>
    <w:p>
      <w:pPr>
        <w:jc w:val="both"/>
        <w:ind w:left="660" w:hanging="328"/>
        <w:spacing w:after="0" w:line="247"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Barnett segment adjusted EBITDA totaled $5.4 million, an increase of $0.3 million relative to the first quarter of 2024, primarily due to a 12.8% increase in volumes from a customer partially resuming flow on curtailed volumes and 14 new wells connected to the system from our anchor customer during the quarter, partially offset by $0.7 million increase in planned operating expenses. Subsequent to quarter end, our anchor customer turned-in-line a 5-well pad with initial production of approximately 28 MMcf/d. Currently, Barnett average volume throughput over the last five days has averaged over 260 MMcf/d. We estimate there is still approximately 30 MMcf/d of shut-in production behind the system. There is currently one rig running and 13 DUCs behind the system.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Oil price-driven segments</w:t>
      </w:r>
      <w:r>
        <w:rPr>
          <w:rFonts w:ascii="Arial" w:cs="Arial" w:eastAsia="Arial" w:hAnsi="Arial"/>
          <w:sz w:val="18"/>
          <w:szCs w:val="18"/>
          <w:b w:val="1"/>
          <w:bCs w:val="1"/>
          <w:color w:val="auto"/>
        </w:rPr>
        <w:t>:</w:t>
      </w:r>
    </w:p>
    <w:p>
      <w:pPr>
        <w:spacing w:after="0" w:line="198" w:lineRule="exact"/>
        <w:rPr>
          <w:sz w:val="20"/>
          <w:szCs w:val="20"/>
          <w:color w:val="auto"/>
        </w:rPr>
      </w:pPr>
    </w:p>
    <w:p>
      <w:pPr>
        <w:ind w:left="660" w:hanging="328"/>
        <w:spacing w:after="0" w:line="237"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Oil price-driven segments generated $30.6 million of combined segment adjusted EBITDA, representing a 1.4% increase relative to the first quarter, and had combined capital expenditures of $7.9 million.</w:t>
      </w:r>
    </w:p>
    <w:p>
      <w:pPr>
        <w:spacing w:after="0" w:line="126"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Permian segment adjusted EBITDA totaled $7.7 million, an increase of $0.4 million from the first quarter of 2024, primarily due to 17.5% increase in volumes shipped on the Double E Pipeline leading to an increase in proportionate adjusted EBITDA from our Double E joint venture.</w:t>
      </w:r>
    </w:p>
    <w:p>
      <w:pPr>
        <w:spacing w:after="0" w:line="124" w:lineRule="exact"/>
        <w:rPr>
          <w:rFonts w:ascii="Arial" w:cs="Arial" w:eastAsia="Arial" w:hAnsi="Arial"/>
          <w:sz w:val="22"/>
          <w:szCs w:val="22"/>
          <w:color w:val="auto"/>
        </w:rPr>
      </w:pPr>
    </w:p>
    <w:p>
      <w:pPr>
        <w:jc w:val="both"/>
        <w:ind w:left="660" w:hanging="328"/>
        <w:spacing w:after="0" w:line="247"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Rockies segment adjusted EBITDA totaled $22.9 million, a decrease of 0.1% relative to the first quarter of 2024, primarily due to decreased product margin in the DJ Basin, partially offset by an 1.4% increase in liquids volume throughput and a 4.8% increase in natural gas volume throughput. We continued to experience operational downtime at a compressor station behind our DJ Basin gas gathering system. This downtime resulted in an increase in volume offloaded to another processing plant, which impacted product margin during the quarter by approximately $1.5 million. We expect this downtime to be partially resolved in the third quarter and fully resolved by the fourth quarter. There were 20 new wells connected during the quarter, including 18 in the DJ Basin and two in the Williston Basin. There are currently two rigs running and approximately 90 DUCs behind the systems.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average daily throughput by reportable segment for the periods indicated:</w:t>
      </w:r>
    </w:p>
    <w:p>
      <w:pPr>
        <w:sectPr>
          <w:pgSz w:w="11900" w:h="16838" w:orient="portrait"/>
          <w:cols w:equalWidth="0" w:num="1">
            <w:col w:w="11240"/>
          </w:cols>
          <w:pgMar w:left="320" w:top="117" w:right="339" w:bottom="1440" w:gutter="0" w:footer="0" w:header="0"/>
        </w:sectPr>
      </w:pPr>
    </w:p>
    <w:p>
      <w:pPr>
        <w:spacing w:after="0" w:line="221" w:lineRule="exact"/>
        <w:rPr>
          <w:sz w:val="20"/>
          <w:szCs w:val="20"/>
          <w:color w:val="auto"/>
        </w:rPr>
      </w:pPr>
    </w:p>
    <w:p>
      <w:pPr>
        <w:jc w:val="center"/>
        <w:ind w:left="498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32385</wp:posOffset>
            </wp:positionV>
            <wp:extent cx="1928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62" w:lineRule="exact"/>
        <w:rPr>
          <w:sz w:val="20"/>
          <w:szCs w:val="20"/>
          <w:color w:val="auto"/>
        </w:rPr>
      </w:pPr>
    </w:p>
    <w:p>
      <w:pPr>
        <w:ind w:left="5560"/>
        <w:spacing w:after="0"/>
        <w:tabs>
          <w:tab w:leader="none" w:pos="71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32385</wp:posOffset>
            </wp:positionV>
            <wp:extent cx="19462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275" cy="8255"/>
                    </a:xfrm>
                    <a:prstGeom prst="rect">
                      <a:avLst/>
                    </a:prstGeom>
                    <a:noFill/>
                  </pic:spPr>
                </pic:pic>
              </a:graphicData>
            </a:graphic>
          </wp:anchor>
        </w:drawing>
      </w:r>
    </w:p>
    <w:p>
      <w:pPr>
        <w:spacing w:after="0" w:line="62"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59" w:lineRule="exact"/>
        <w:rPr>
          <w:sz w:val="20"/>
          <w:szCs w:val="20"/>
          <w:color w:val="auto"/>
        </w:rPr>
      </w:pPr>
    </w:p>
    <w:p>
      <w:pPr>
        <w:sectPr>
          <w:pgSz w:w="11900" w:h="16838" w:orient="portrait"/>
          <w:cols w:equalWidth="0" w:num="2">
            <w:col w:w="8020" w:space="720"/>
            <w:col w:w="2500"/>
          </w:cols>
          <w:pgMar w:left="320" w:top="117"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Average daily throughput (MMcf/d):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80" w:type="dxa"/>
            <w:vAlign w:val="bottom"/>
          </w:tcPr>
          <w:p>
            <w:pPr>
              <w:ind w:left="20"/>
              <w:spacing w:after="0"/>
              <w:rPr>
                <w:sz w:val="20"/>
                <w:szCs w:val="20"/>
                <w:color w:val="auto"/>
              </w:rPr>
            </w:pPr>
            <w:r>
              <w:rPr>
                <w:rFonts w:ascii="Arial" w:cs="Arial" w:eastAsia="Arial" w:hAnsi="Arial"/>
                <w:sz w:val="18"/>
                <w:szCs w:val="18"/>
                <w:color w:val="auto"/>
              </w:rPr>
              <w:t xml:space="preserve">Northeast </w:t>
            </w:r>
            <w:r>
              <w:rPr>
                <w:rFonts w:ascii="Arial" w:cs="Arial" w:eastAsia="Arial" w:hAnsi="Arial"/>
                <w:sz w:val="10"/>
                <w:szCs w:val="10"/>
                <w:color w:val="auto"/>
              </w:rPr>
              <w:t>(1)</w:t>
            </w:r>
          </w:p>
        </w:tc>
        <w:tc>
          <w:tcPr>
            <w:tcW w:w="14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629</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Rockies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7"/>
        </w:trPr>
        <w:tc>
          <w:tcPr>
            <w:tcW w:w="4980" w:type="dxa"/>
            <w:vAlign w:val="bottom"/>
          </w:tcPr>
          <w:p>
            <w:pPr>
              <w:ind w:left="20"/>
              <w:spacing w:after="0"/>
              <w:rPr>
                <w:sz w:val="20"/>
                <w:szCs w:val="20"/>
                <w:color w:val="auto"/>
              </w:rPr>
            </w:pPr>
            <w:r>
              <w:rPr>
                <w:rFonts w:ascii="Arial" w:cs="Arial" w:eastAsia="Arial" w:hAnsi="Arial"/>
                <w:sz w:val="18"/>
                <w:szCs w:val="18"/>
                <w:color w:val="auto"/>
              </w:rPr>
              <w:t>Piceance</w:t>
            </w:r>
          </w:p>
        </w:tc>
        <w:tc>
          <w:tcPr>
            <w:tcW w:w="14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Barnett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63"/>
        </w:trPr>
        <w:tc>
          <w:tcPr>
            <w:tcW w:w="4980" w:type="dxa"/>
            <w:vAlign w:val="bottom"/>
          </w:tcPr>
          <w:p>
            <w:pPr>
              <w:ind w:left="280"/>
              <w:spacing w:after="0"/>
              <w:rPr>
                <w:sz w:val="20"/>
                <w:szCs w:val="20"/>
                <w:color w:val="auto"/>
              </w:rPr>
            </w:pPr>
            <w:r>
              <w:rPr>
                <w:rFonts w:ascii="Arial" w:cs="Arial" w:eastAsia="Arial" w:hAnsi="Arial"/>
                <w:sz w:val="18"/>
                <w:szCs w:val="18"/>
                <w:b w:val="1"/>
                <w:bCs w:val="1"/>
                <w:color w:val="auto"/>
              </w:rPr>
              <w:t>Aggregate average daily throughput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1,207</w:t>
            </w:r>
          </w:p>
        </w:tc>
        <w:tc>
          <w:tcPr>
            <w:tcW w:w="14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1,023</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1,197</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Average daily throughput (Mbbl/d):</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Rockies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64"/>
        </w:trPr>
        <w:tc>
          <w:tcPr>
            <w:tcW w:w="4980" w:type="dxa"/>
            <w:vAlign w:val="bottom"/>
          </w:tcPr>
          <w:p>
            <w:pPr>
              <w:ind w:left="280"/>
              <w:spacing w:after="0"/>
              <w:rPr>
                <w:sz w:val="20"/>
                <w:szCs w:val="20"/>
                <w:color w:val="auto"/>
              </w:rPr>
            </w:pPr>
            <w:r>
              <w:rPr>
                <w:rFonts w:ascii="Arial" w:cs="Arial" w:eastAsia="Arial" w:hAnsi="Arial"/>
                <w:sz w:val="18"/>
                <w:szCs w:val="18"/>
                <w:b w:val="1"/>
                <w:bCs w:val="1"/>
                <w:color w:val="auto"/>
              </w:rPr>
              <w:t>Aggregate average daily throughput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14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 xml:space="preserve">Ohio Gathering average daily throughput (MMcf/d) </w:t>
            </w:r>
            <w:r>
              <w:rPr>
                <w:rFonts w:ascii="Arial" w:cs="Arial" w:eastAsia="Arial" w:hAnsi="Arial"/>
                <w:sz w:val="10"/>
                <w:szCs w:val="10"/>
                <w:b w:val="1"/>
                <w:bCs w:val="1"/>
                <w:color w:val="auto"/>
              </w:rPr>
              <w:t>(2)</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781</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425</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709</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 xml:space="preserve">Double E average daily throughput (MMcf/d) </w:t>
            </w:r>
            <w:r>
              <w:rPr>
                <w:rFonts w:ascii="Arial" w:cs="Arial" w:eastAsia="Arial" w:hAnsi="Arial"/>
                <w:sz w:val="10"/>
                <w:szCs w:val="10"/>
                <w:b w:val="1"/>
                <w:bCs w:val="1"/>
                <w:color w:val="auto"/>
              </w:rPr>
              <w:t>(3)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w:t>
            </w: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w:t>
            </w:r>
          </w:p>
        </w:tc>
        <w:tc>
          <w:tcPr>
            <w:tcW w:w="14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508</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1"/>
                <w:szCs w:val="11"/>
                <w:color w:val="auto"/>
              </w:rPr>
              <w:t>_________</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49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Exclusive of Ohio Gathering due to equity method accounting.</w:t>
      </w:r>
    </w:p>
    <w:p>
      <w:pPr>
        <w:spacing w:after="0" w:line="96"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Gross basis, represents 100% of volume throughput for Ohio Gathering, subject to a one-month lag.</w:t>
      </w:r>
    </w:p>
    <w:p>
      <w:pPr>
        <w:spacing w:after="0" w:line="96"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Gross basis, represents 100% of volume throughput for Double 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adjusted EBITDA by reportable segment for the periods indicated:</w:t>
      </w:r>
    </w:p>
    <w:p>
      <w:pPr>
        <w:sectPr>
          <w:pgSz w:w="11900" w:h="16838" w:orient="portrait"/>
          <w:cols w:equalWidth="0" w:num="1">
            <w:col w:w="11240"/>
          </w:cols>
          <w:pgMar w:left="320" w:top="117" w:right="339" w:bottom="1440" w:gutter="0" w:footer="0" w:header="0"/>
          <w:type w:val="continuous"/>
        </w:sectPr>
      </w:pPr>
    </w:p>
    <w:p>
      <w:pPr>
        <w:spacing w:after="0" w:line="208" w:lineRule="exact"/>
        <w:rPr>
          <w:sz w:val="20"/>
          <w:szCs w:val="20"/>
          <w:color w:val="auto"/>
        </w:rPr>
      </w:pPr>
    </w:p>
    <w:p>
      <w:pPr>
        <w:jc w:val="center"/>
        <w:ind w:left="492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32385</wp:posOffset>
            </wp:positionV>
            <wp:extent cx="19627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62" w:lineRule="exact"/>
        <w:rPr>
          <w:sz w:val="20"/>
          <w:szCs w:val="20"/>
          <w:color w:val="auto"/>
        </w:rPr>
      </w:pPr>
    </w:p>
    <w:p>
      <w:pPr>
        <w:ind w:left="5500"/>
        <w:spacing w:after="0"/>
        <w:tabs>
          <w:tab w:leader="none" w:pos="708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32385</wp:posOffset>
            </wp:positionV>
            <wp:extent cx="19627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62"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32385</wp:posOffset>
            </wp:positionV>
            <wp:extent cx="19634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3420" cy="8890"/>
                    </a:xfrm>
                    <a:prstGeom prst="rect">
                      <a:avLst/>
                    </a:prstGeom>
                    <a:noFill/>
                  </pic:spPr>
                </pic:pic>
              </a:graphicData>
            </a:graphic>
          </wp:anchor>
        </w:drawing>
      </w:r>
    </w:p>
    <w:p>
      <w:pPr>
        <w:spacing w:after="0" w:line="6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32385</wp:posOffset>
            </wp:positionV>
            <wp:extent cx="19634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3420" cy="8255"/>
                    </a:xfrm>
                    <a:prstGeom prst="rect">
                      <a:avLst/>
                    </a:prstGeom>
                    <a:noFill/>
                  </pic:spPr>
                </pic:pic>
              </a:graphicData>
            </a:graphic>
          </wp:anchor>
        </w:drawing>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(In thousands)</w:t>
      </w:r>
    </w:p>
    <w:p>
      <w:pPr>
        <w:spacing w:after="0" w:line="59" w:lineRule="exact"/>
        <w:rPr>
          <w:sz w:val="20"/>
          <w:szCs w:val="20"/>
          <w:color w:val="auto"/>
        </w:rPr>
      </w:pPr>
    </w:p>
    <w:p>
      <w:pPr>
        <w:sectPr>
          <w:pgSz w:w="11900" w:h="16838" w:orient="portrait"/>
          <w:cols w:equalWidth="0" w:num="2">
            <w:col w:w="8000" w:space="720"/>
            <w:col w:w="2520"/>
          </w:cols>
          <w:pgMar w:left="320" w:top="117"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 xml:space="preserve">Reportable segment adjusted EBITDA </w:t>
      </w:r>
      <w:r>
        <w:rPr>
          <w:rFonts w:ascii="Arial" w:cs="Arial" w:eastAsia="Arial" w:hAnsi="Arial"/>
          <w:sz w:val="10"/>
          <w:szCs w:val="10"/>
          <w:b w:val="1"/>
          <w:bCs w:val="1"/>
          <w:color w:val="auto"/>
        </w:rPr>
        <w:t>(1)</w:t>
      </w:r>
      <w:r>
        <w:rPr>
          <w:rFonts w:ascii="Arial" w:cs="Arial" w:eastAsia="Arial" w:hAnsi="Arial"/>
          <w:sz w:val="18"/>
          <w:szCs w:val="18"/>
          <w:b w:val="1"/>
          <w:bCs w:val="1"/>
          <w:color w:val="auto"/>
        </w:rPr>
        <w: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00" w:type="dxa"/>
            <w:vAlign w:val="bottom"/>
          </w:tcPr>
          <w:p>
            <w:pPr>
              <w:ind w:left="20"/>
              <w:spacing w:after="0"/>
              <w:rPr>
                <w:sz w:val="20"/>
                <w:szCs w:val="20"/>
                <w:color w:val="auto"/>
              </w:rPr>
            </w:pPr>
            <w:r>
              <w:rPr>
                <w:rFonts w:ascii="Arial" w:cs="Arial" w:eastAsia="Arial" w:hAnsi="Arial"/>
                <w:sz w:val="18"/>
                <w:szCs w:val="18"/>
                <w:color w:val="auto"/>
              </w:rPr>
              <w:t xml:space="preserve">Northeast </w:t>
            </w:r>
            <w:r>
              <w:rPr>
                <w:rFonts w:ascii="Arial" w:cs="Arial" w:eastAsia="Arial" w:hAnsi="Arial"/>
                <w:sz w:val="10"/>
                <w:szCs w:val="10"/>
                <w:color w:val="auto"/>
              </w:rPr>
              <w:t>(2)</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20,201</w:t>
            </w:r>
          </w:p>
        </w:tc>
        <w:tc>
          <w:tcPr>
            <w:tcW w:w="14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30,634</w:t>
            </w:r>
          </w:p>
        </w:tc>
        <w:tc>
          <w:tcPr>
            <w:tcW w:w="8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38,055</w:t>
            </w:r>
          </w:p>
        </w:tc>
      </w:tr>
      <w:tr>
        <w:trPr>
          <w:trHeight w:val="23"/>
        </w:trPr>
        <w:tc>
          <w:tcPr>
            <w:tcW w:w="4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Rockies</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16,858</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45,732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39,988</w:t>
            </w:r>
          </w:p>
        </w:tc>
      </w:tr>
      <w:tr>
        <w:trPr>
          <w:trHeight w:val="247"/>
        </w:trPr>
        <w:tc>
          <w:tcPr>
            <w:tcW w:w="4900" w:type="dxa"/>
            <w:vAlign w:val="bottom"/>
          </w:tcPr>
          <w:p>
            <w:pPr>
              <w:ind w:left="20"/>
              <w:spacing w:after="0"/>
              <w:rPr>
                <w:sz w:val="20"/>
                <w:szCs w:val="20"/>
                <w:color w:val="auto"/>
              </w:rPr>
            </w:pPr>
            <w:r>
              <w:rPr>
                <w:rFonts w:ascii="Arial" w:cs="Arial" w:eastAsia="Arial" w:hAnsi="Arial"/>
                <w:sz w:val="18"/>
                <w:szCs w:val="18"/>
                <w:color w:val="auto"/>
              </w:rPr>
              <w:t xml:space="preserve">Permian </w:t>
            </w:r>
            <w:r>
              <w:rPr>
                <w:rFonts w:ascii="Arial" w:cs="Arial" w:eastAsia="Arial" w:hAnsi="Arial"/>
                <w:sz w:val="10"/>
                <w:szCs w:val="10"/>
                <w:color w:val="auto"/>
              </w:rPr>
              <w:t>(3)</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5,370</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14,962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10,443</w:t>
            </w:r>
          </w:p>
        </w:tc>
      </w:tr>
      <w:tr>
        <w:trPr>
          <w:trHeight w:val="23"/>
        </w:trPr>
        <w:tc>
          <w:tcPr>
            <w:tcW w:w="4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Piceance</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14,365</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28,081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28,348</w:t>
            </w:r>
          </w:p>
        </w:tc>
      </w:tr>
      <w:tr>
        <w:trPr>
          <w:trHeight w:val="247"/>
        </w:trPr>
        <w:tc>
          <w:tcPr>
            <w:tcW w:w="4900" w:type="dxa"/>
            <w:vAlign w:val="bottom"/>
          </w:tcPr>
          <w:p>
            <w:pPr>
              <w:ind w:left="20"/>
              <w:spacing w:after="0"/>
              <w:rPr>
                <w:sz w:val="20"/>
                <w:szCs w:val="20"/>
                <w:color w:val="auto"/>
              </w:rPr>
            </w:pPr>
            <w:r>
              <w:rPr>
                <w:rFonts w:ascii="Arial" w:cs="Arial" w:eastAsia="Arial" w:hAnsi="Arial"/>
                <w:sz w:val="18"/>
                <w:szCs w:val="18"/>
                <w:color w:val="auto"/>
              </w:rPr>
              <w:t>Barnett</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7,269</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10,520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14,296</w:t>
            </w:r>
          </w:p>
        </w:tc>
      </w:tr>
      <w:tr>
        <w:trPr>
          <w:trHeight w:val="23"/>
        </w:trPr>
        <w:tc>
          <w:tcPr>
            <w:tcW w:w="49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64,063</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129,929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131,130</w:t>
            </w:r>
          </w:p>
        </w:tc>
      </w:tr>
      <w:tr>
        <w:trPr>
          <w:trHeight w:val="247"/>
        </w:trPr>
        <w:tc>
          <w:tcPr>
            <w:tcW w:w="4900" w:type="dxa"/>
            <w:vAlign w:val="bottom"/>
          </w:tcPr>
          <w:p>
            <w:pPr>
              <w:ind w:left="20"/>
              <w:spacing w:after="0"/>
              <w:rPr>
                <w:sz w:val="20"/>
                <w:szCs w:val="20"/>
                <w:color w:val="auto"/>
              </w:rPr>
            </w:pPr>
            <w:r>
              <w:rPr>
                <w:rFonts w:ascii="Arial" w:cs="Arial" w:eastAsia="Arial" w:hAnsi="Arial"/>
                <w:sz w:val="18"/>
                <w:szCs w:val="18"/>
                <w:color w:val="auto"/>
              </w:rPr>
              <w:t xml:space="preserve">Less: Corporate and Other </w:t>
            </w:r>
            <w:r>
              <w:rPr>
                <w:rFonts w:ascii="Arial" w:cs="Arial" w:eastAsia="Arial" w:hAnsi="Arial"/>
                <w:sz w:val="10"/>
                <w:szCs w:val="10"/>
                <w:color w:val="auto"/>
              </w:rPr>
              <w:t>(4)</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5,460</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16,722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12,092</w:t>
            </w:r>
          </w:p>
        </w:tc>
      </w:tr>
      <w:tr>
        <w:trPr>
          <w:trHeight w:val="23"/>
        </w:trPr>
        <w:tc>
          <w:tcPr>
            <w:tcW w:w="49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(5)</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43,148</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58,603</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113,207</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119,038</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43" w:lineRule="exact"/>
        <w:rPr>
          <w:sz w:val="20"/>
          <w:szCs w:val="20"/>
          <w:color w:val="auto"/>
        </w:rPr>
      </w:pPr>
    </w:p>
    <w:p>
      <w:pPr>
        <w:jc w:val="both"/>
        <w:ind w:left="340" w:hanging="332"/>
        <w:spacing w:after="0"/>
        <w:tabs>
          <w:tab w:leader="none" w:pos="333"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Segment adjusted EBITDA is a non-GAAP financial measure. We define segment adjusted EBITDA as total revenues less total costs and expenses, plus (i) other income (excluding interest income), (ii) our proportional adjusted EBITDA for equity method investees, (iii) depreciation and amortization, (iv) adjustments related to minimum volume commitments ("MVC") shortfall payments, (v) adjustments related to capital reimbursement activity, (vi) unit-based and noncash compensation, (vii) impairments and (viii) other noncash expenses or losses, less other noncash income or gains.</w:t>
      </w:r>
    </w:p>
    <w:p>
      <w:pPr>
        <w:spacing w:after="0" w:line="124" w:lineRule="exact"/>
        <w:rPr>
          <w:rFonts w:ascii="Arial" w:cs="Arial" w:eastAsia="Arial" w:hAnsi="Arial"/>
          <w:sz w:val="21"/>
          <w:szCs w:val="21"/>
          <w:color w:val="auto"/>
          <w:vertAlign w:val="superscript"/>
        </w:rPr>
      </w:pPr>
    </w:p>
    <w:p>
      <w:pPr>
        <w:jc w:val="both"/>
        <w:ind w:left="340" w:hanging="332"/>
        <w:spacing w:after="0" w:line="246" w:lineRule="auto"/>
        <w:tabs>
          <w:tab w:leader="none" w:pos="333"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Includes our proportional share of adjusted EBITDA for Ohio Gathering. Summit records financial results of its investment in Ohio Gathering on a one-month lag and is based on the financial information available to us during the reporting period. With the divestiture of Ohio Gathering in March 2024, proportional adjusted EBITDA includes financial results from December 1, 2023 through March 22, 2024. We define proportional adjusted EBITDA for our equity method investees as the product of (i) total revenues less total expenses, excluding impairments and other noncash income or expense items and (ii) amortization for deferred contract costs; multiplied by our ownership interest during the respective period.</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17" w:right="33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340" w:hanging="332"/>
        <w:spacing w:after="0" w:line="238" w:lineRule="auto"/>
        <w:tabs>
          <w:tab w:leader="none" w:pos="333"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Includes our proportional share of adjusted EBITDA for Double E. We define proportional adjusted EBITDA for our equity method investees as the product of total revenues less total expenses, excluding impairments and other noncash income or expense items; multiplied by our ownership interest during the respective period.</w:t>
      </w:r>
    </w:p>
    <w:p>
      <w:pPr>
        <w:spacing w:after="0" w:line="124" w:lineRule="exact"/>
        <w:rPr>
          <w:rFonts w:ascii="Arial" w:cs="Arial" w:eastAsia="Arial" w:hAnsi="Arial"/>
          <w:sz w:val="21"/>
          <w:szCs w:val="21"/>
          <w:color w:val="auto"/>
          <w:vertAlign w:val="superscript"/>
        </w:rPr>
      </w:pPr>
    </w:p>
    <w:p>
      <w:pPr>
        <w:ind w:left="340" w:hanging="332"/>
        <w:spacing w:after="0" w:line="235" w:lineRule="auto"/>
        <w:tabs>
          <w:tab w:leader="none" w:pos="333"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Corporate and Other represents those results that are not specifically attributable to a reportable segment or that have not been allocated to our reportable segments, including certain general and administrative expense items and transaction costs.</w:t>
      </w:r>
    </w:p>
    <w:p>
      <w:pPr>
        <w:spacing w:after="0" w:line="96"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Adjusted EBITDA is a non-GAAP financial measure.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Capital expenditures totaled $10.5 million in the second quarter of 2024, inclusive of maintenance capital expenditures of $3.4 million. Capital expenditures in the second quarter of 2024 were primarily related to pad connections in the Rockies segment.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8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r>
      <w:tr>
        <w:trPr>
          <w:trHeight w:val="222"/>
        </w:trPr>
        <w:tc>
          <w:tcPr>
            <w:tcW w:w="8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9"/>
                <w:szCs w:val="19"/>
                <w:color w:val="auto"/>
              </w:rPr>
            </w:pPr>
          </w:p>
        </w:tc>
      </w:tr>
      <w:tr>
        <w:trPr>
          <w:trHeight w:val="278"/>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Cash paid for capital expenditures </w:t>
            </w:r>
            <w:r>
              <w:rPr>
                <w:rFonts w:ascii="Arial" w:cs="Arial" w:eastAsia="Arial" w:hAnsi="Arial"/>
                <w:sz w:val="10"/>
                <w:szCs w:val="10"/>
                <w:b w:val="1"/>
                <w:bCs w:val="1"/>
                <w:color w:val="auto"/>
              </w:rPr>
              <w:t>(1)</w:t>
            </w:r>
            <w:r>
              <w:rPr>
                <w:rFonts w:ascii="Arial" w:cs="Arial" w:eastAsia="Arial" w:hAnsi="Arial"/>
                <w:sz w:val="18"/>
                <w:szCs w:val="18"/>
                <w:b w:val="1"/>
                <w:bCs w:val="1"/>
                <w:color w:val="auto"/>
              </w:rPr>
              <w:t>:</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7"/>
        </w:trPr>
        <w:tc>
          <w:tcPr>
            <w:tcW w:w="8100" w:type="dxa"/>
            <w:vAlign w:val="bottom"/>
          </w:tcPr>
          <w:p>
            <w:pPr>
              <w:ind w:left="20"/>
              <w:spacing w:after="0"/>
              <w:rPr>
                <w:sz w:val="20"/>
                <w:szCs w:val="20"/>
                <w:color w:val="auto"/>
              </w:rPr>
            </w:pPr>
            <w:r>
              <w:rPr>
                <w:rFonts w:ascii="Arial" w:cs="Arial" w:eastAsia="Arial" w:hAnsi="Arial"/>
                <w:sz w:val="18"/>
                <w:szCs w:val="18"/>
                <w:color w:val="auto"/>
              </w:rPr>
              <w:t>Northeast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Rockies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26,424</w:t>
            </w:r>
          </w:p>
        </w:tc>
      </w:tr>
      <w:tr>
        <w:trPr>
          <w:trHeight w:val="247"/>
        </w:trPr>
        <w:tc>
          <w:tcPr>
            <w:tcW w:w="8100" w:type="dxa"/>
            <w:vAlign w:val="bottom"/>
          </w:tcPr>
          <w:p>
            <w:pPr>
              <w:ind w:left="20"/>
              <w:spacing w:after="0"/>
              <w:rPr>
                <w:sz w:val="20"/>
                <w:szCs w:val="20"/>
                <w:color w:val="auto"/>
              </w:rPr>
            </w:pPr>
            <w:r>
              <w:rPr>
                <w:rFonts w:ascii="Arial" w:cs="Arial" w:eastAsia="Arial" w:hAnsi="Arial"/>
                <w:sz w:val="18"/>
                <w:szCs w:val="18"/>
                <w:color w:val="auto"/>
              </w:rPr>
              <w:t>Piceance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2,560</w:t>
            </w:r>
          </w:p>
        </w:tc>
      </w:tr>
      <w:tr>
        <w:trPr>
          <w:trHeight w:val="2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Barnett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1"/>
        </w:trPr>
        <w:tc>
          <w:tcPr>
            <w:tcW w:w="8100" w:type="dxa"/>
            <w:vAlign w:val="bottom"/>
          </w:tcPr>
          <w:p>
            <w:pPr>
              <w:ind w:left="140"/>
              <w:spacing w:after="0"/>
              <w:rPr>
                <w:sz w:val="20"/>
                <w:szCs w:val="20"/>
                <w:color w:val="auto"/>
              </w:rPr>
            </w:pPr>
            <w:r>
              <w:rPr>
                <w:rFonts w:ascii="Arial" w:cs="Arial" w:eastAsia="Arial" w:hAnsi="Arial"/>
                <w:sz w:val="18"/>
                <w:szCs w:val="18"/>
                <w:color w:val="auto"/>
              </w:rPr>
              <w:t>Total reportable segment capital expenditures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24,683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29,870</w:t>
            </w:r>
          </w:p>
        </w:tc>
      </w:tr>
      <w:tr>
        <w:trPr>
          <w:trHeight w:val="23"/>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2,308</w:t>
            </w:r>
          </w:p>
        </w:tc>
      </w:tr>
      <w:tr>
        <w:trPr>
          <w:trHeight w:val="263"/>
        </w:trPr>
        <w:tc>
          <w:tcPr>
            <w:tcW w:w="8100" w:type="dxa"/>
            <w:vAlign w:val="bottom"/>
          </w:tcPr>
          <w:p>
            <w:pPr>
              <w:ind w:left="140"/>
              <w:spacing w:after="0"/>
              <w:rPr>
                <w:sz w:val="20"/>
                <w:szCs w:val="20"/>
                <w:color w:val="auto"/>
              </w:rPr>
            </w:pPr>
            <w:r>
              <w:rPr>
                <w:rFonts w:ascii="Arial" w:cs="Arial" w:eastAsia="Arial" w:hAnsi="Arial"/>
                <w:sz w:val="18"/>
                <w:szCs w:val="18"/>
                <w:color w:val="auto"/>
              </w:rPr>
              <w:t>Total cash paid for capital expenditures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26,920</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32,178</w:t>
            </w:r>
          </w:p>
        </w:tc>
      </w:tr>
      <w:tr>
        <w:trPr>
          <w:trHeight w:val="21"/>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16"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Excludes cash paid for capital expenditures by Ohio Gathering and Double E due to equity method accounting.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&amp; Liquidity</w:t>
      </w:r>
    </w:p>
    <w:p>
      <w:pPr>
        <w:spacing w:after="0" w:line="15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June 30, 2024, SMLP had $156.0 million in unrestricted cash on hand and a fully undrawn $400 million asset-based revolving credit facility (the "Prior ABL Facility") with $372 million of borrowing availability, after accounting for $4.3 million of issued, but undrawn letters of credit and $24 million of commitment reserve for the 5.75% Senior Notes due 2025 (the "2025 Notes"). As of June 30, 2024, SMLP’s gross availability based on the borrowing base calculation in the credit agreement was $632 million, which is $232 million greater than the $400 million of lender commitments to the Prior ABL Facility. As of June 30, 2024, SMLP was in compliance with all financial covenants.</w:t>
      </w:r>
    </w:p>
    <w:p>
      <w:pPr>
        <w:spacing w:after="0" w:line="71"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Subsequent to quarter end, SMLP amended and restated its existing first-lien, senior secured credit agreement, consisting of a $500 million asset-based revolving credit facility and issued $ 575 million in aggregate principal amount of 2029 Notes. The net proceeds from the sale of the 2029 Notes, together with cash on hand and borrowings under the A&amp;R ABL Facility were used to repurchase or redeem all of the</w:t>
      </w:r>
    </w:p>
    <w:p>
      <w:pPr>
        <w:spacing w:after="0" w:line="1"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auto"/>
        </w:rPr>
        <w:t>8.500% Senior Secured Second Lien Notes due 2026 (the “2026 Secured Notes”) and 2025 Notes. After giving effect to the refinancing, including breakage costs and transaction fees, SMLP reported a total net leverage ratio of approximately 4.4x.</w:t>
      </w:r>
    </w:p>
    <w:p>
      <w:pPr>
        <w:spacing w:after="0" w:line="63"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As of June 30, 2024, the Permian Transmission Credit Facility balance was $137.2 million, a reduction of $3.8 million relative to the March 31, 2024 balance of $141.1 million due to scheduled mandatory amortization. The Permian Transmission Term Loan remains non-recourse to SMC.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MVC Shortfall Payments</w:t>
      </w:r>
    </w:p>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SMLP billed its customers $5.9 million in the second quarter of 2024 related to MVC shortfalls. For those customers that do not have MVC shortfall credit banking mechanisms in their gathering agreements, the MVC shortfall payments are accounted for as gathering revenue in the period in which they are earned. In the second quarter of 2024, SMLP recognized $ 5.9 million of gathering revenue associated with MVC shortfall payments. SMLP had $0.5 million of adjustments to MVC shortfall payments in the second quarter of 2024. SMLP’s MVC shortfall payment mechanisms contributed $5.4 million of total adjusted EBITDA in the second quarter of 2024.</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EXHIBIT 99.1</w:t>
            </w:r>
          </w:p>
        </w:tc>
        <w:tc>
          <w:tcPr>
            <w:tcW w:w="0" w:type="dxa"/>
            <w:vAlign w:val="bottom"/>
          </w:tcPr>
          <w:p>
            <w:pPr>
              <w:spacing w:after="0"/>
              <w:rPr>
                <w:sz w:val="1"/>
                <w:szCs w:val="1"/>
                <w:color w:val="auto"/>
              </w:rPr>
            </w:pPr>
          </w:p>
        </w:tc>
      </w:tr>
      <w:tr>
        <w:trPr>
          <w:trHeight w:val="911"/>
        </w:trPr>
        <w:tc>
          <w:tcPr>
            <w:tcW w:w="5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 June 30, 2024</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Adjustments to</w:t>
            </w:r>
          </w:p>
        </w:tc>
        <w:tc>
          <w:tcPr>
            <w:tcW w:w="120" w:type="dxa"/>
            <w:vAlign w:val="bottom"/>
          </w:tcPr>
          <w:p>
            <w:pPr>
              <w:spacing w:after="0"/>
              <w:rPr>
                <w:sz w:val="16"/>
                <w:szCs w:val="16"/>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impact to</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MVC shortfall</w:t>
            </w: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MVC Billings</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Gathering revenue</w:t>
            </w:r>
          </w:p>
        </w:tc>
        <w:tc>
          <w:tcPr>
            <w:tcW w:w="14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payments</w:t>
            </w: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adjusted EBITDA</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deferred revenue related to MVC</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shortfall payments:</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700" w:type="dxa"/>
            <w:vAlign w:val="bottom"/>
          </w:tcPr>
          <w:p>
            <w:pPr>
              <w:ind w:left="20"/>
              <w:spacing w:after="0"/>
              <w:rPr>
                <w:sz w:val="20"/>
                <w:szCs w:val="20"/>
                <w:color w:val="auto"/>
              </w:rPr>
            </w:pPr>
            <w:r>
              <w:rPr>
                <w:rFonts w:ascii="Arial" w:cs="Arial" w:eastAsia="Arial" w:hAnsi="Arial"/>
                <w:sz w:val="18"/>
                <w:szCs w:val="18"/>
                <w:color w:val="auto"/>
              </w:rPr>
              <w:t>Piceance Basin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5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Total net change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MVC shortfall payment adjustments:</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5700" w:type="dxa"/>
            <w:vAlign w:val="bottom"/>
          </w:tcPr>
          <w:p>
            <w:pPr>
              <w:ind w:left="20"/>
              <w:spacing w:after="0"/>
              <w:rPr>
                <w:sz w:val="20"/>
                <w:szCs w:val="20"/>
                <w:color w:val="auto"/>
              </w:rPr>
            </w:pPr>
            <w:r>
              <w:rPr>
                <w:rFonts w:ascii="Arial" w:cs="Arial" w:eastAsia="Arial" w:hAnsi="Arial"/>
                <w:sz w:val="18"/>
                <w:szCs w:val="18"/>
                <w:color w:val="auto"/>
              </w:rPr>
              <w:t>Rockies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660"/>
              <w:spacing w:after="0"/>
              <w:rPr>
                <w:sz w:val="20"/>
                <w:szCs w:val="20"/>
                <w:color w:val="auto"/>
              </w:rPr>
            </w:pPr>
            <w:r>
              <w:rPr>
                <w:rFonts w:ascii="Arial" w:cs="Arial" w:eastAsia="Arial" w:hAnsi="Arial"/>
                <w:sz w:val="18"/>
                <w:szCs w:val="18"/>
                <w:color w:val="auto"/>
              </w:rPr>
              <w:t>(529)</w:t>
            </w:r>
          </w:p>
        </w:tc>
        <w:tc>
          <w:tcPr>
            <w:tcW w:w="1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Piceance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700" w:type="dxa"/>
            <w:vAlign w:val="bottom"/>
          </w:tcPr>
          <w:p>
            <w:pPr>
              <w:ind w:left="20"/>
              <w:spacing w:after="0"/>
              <w:rPr>
                <w:sz w:val="20"/>
                <w:szCs w:val="20"/>
                <w:color w:val="auto"/>
              </w:rPr>
            </w:pPr>
            <w:r>
              <w:rPr>
                <w:rFonts w:ascii="Arial" w:cs="Arial" w:eastAsia="Arial" w:hAnsi="Arial"/>
                <w:sz w:val="18"/>
                <w:szCs w:val="18"/>
                <w:color w:val="auto"/>
              </w:rPr>
              <w:t>Northeast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Total MVC shortfall payment adjustments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5,953</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5,953</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(529)</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7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23"/>
                <w:szCs w:val="23"/>
                <w:b w:val="1"/>
                <w:bCs w:val="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5,953</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5,953</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(529)</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7"/>
        </w:trPr>
        <w:tc>
          <w:tcPr>
            <w:tcW w:w="5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Six Months Ended June 30, 2024</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Adjustments to</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MVC shortfall</w:t>
            </w:r>
          </w:p>
        </w:tc>
        <w:tc>
          <w:tcPr>
            <w:tcW w:w="12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impact to</w:t>
            </w:r>
          </w:p>
        </w:tc>
        <w:tc>
          <w:tcPr>
            <w:tcW w:w="0" w:type="dxa"/>
            <w:vAlign w:val="bottom"/>
          </w:tcPr>
          <w:p>
            <w:pPr>
              <w:spacing w:after="0"/>
              <w:rPr>
                <w:sz w:val="1"/>
                <w:szCs w:val="1"/>
                <w:color w:val="auto"/>
              </w:rPr>
            </w:pPr>
          </w:p>
        </w:tc>
      </w:tr>
      <w:tr>
        <w:trPr>
          <w:trHeight w:val="219"/>
        </w:trPr>
        <w:tc>
          <w:tcPr>
            <w:tcW w:w="5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MVC Billings</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Gathering revenue</w:t>
            </w:r>
          </w:p>
        </w:tc>
        <w:tc>
          <w:tcPr>
            <w:tcW w:w="14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payments</w:t>
            </w: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adjusted EBITDA</w:t>
            </w:r>
          </w:p>
        </w:tc>
        <w:tc>
          <w:tcPr>
            <w:tcW w:w="0" w:type="dxa"/>
            <w:vAlign w:val="bottom"/>
          </w:tcPr>
          <w:p>
            <w:pPr>
              <w:spacing w:after="0"/>
              <w:rPr>
                <w:sz w:val="1"/>
                <w:szCs w:val="1"/>
                <w:color w:val="auto"/>
              </w:rPr>
            </w:pPr>
          </w:p>
        </w:tc>
      </w:tr>
      <w:tr>
        <w:trPr>
          <w:trHeight w:val="222"/>
        </w:trPr>
        <w:tc>
          <w:tcPr>
            <w:tcW w:w="57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720" w:type="dxa"/>
            <w:vAlign w:val="bottom"/>
            <w:tcBorders>
              <w:top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deferred revenue related to MVC</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shortfall payments:</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700" w:type="dxa"/>
            <w:vAlign w:val="bottom"/>
          </w:tcPr>
          <w:p>
            <w:pPr>
              <w:ind w:left="20"/>
              <w:spacing w:after="0"/>
              <w:rPr>
                <w:sz w:val="20"/>
                <w:szCs w:val="20"/>
                <w:color w:val="auto"/>
              </w:rPr>
            </w:pPr>
            <w:r>
              <w:rPr>
                <w:rFonts w:ascii="Arial" w:cs="Arial" w:eastAsia="Arial" w:hAnsi="Arial"/>
                <w:sz w:val="18"/>
                <w:szCs w:val="18"/>
                <w:color w:val="auto"/>
              </w:rPr>
              <w:t>Piceance Basin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5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Total net change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MVC shortfall payment adjustments:</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5700" w:type="dxa"/>
            <w:vAlign w:val="bottom"/>
          </w:tcPr>
          <w:p>
            <w:pPr>
              <w:ind w:left="20"/>
              <w:spacing w:after="0"/>
              <w:rPr>
                <w:sz w:val="20"/>
                <w:szCs w:val="20"/>
                <w:color w:val="auto"/>
              </w:rPr>
            </w:pPr>
            <w:r>
              <w:rPr>
                <w:rFonts w:ascii="Arial" w:cs="Arial" w:eastAsia="Arial" w:hAnsi="Arial"/>
                <w:sz w:val="18"/>
                <w:szCs w:val="18"/>
                <w:color w:val="auto"/>
              </w:rPr>
              <w:t>Rockies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1,201</w:t>
            </w:r>
          </w:p>
        </w:tc>
        <w:tc>
          <w:tcPr>
            <w:tcW w:w="1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1,201</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660"/>
              <w:spacing w:after="0"/>
              <w:rPr>
                <w:sz w:val="20"/>
                <w:szCs w:val="20"/>
                <w:color w:val="auto"/>
              </w:rPr>
            </w:pPr>
            <w:r>
              <w:rPr>
                <w:rFonts w:ascii="Arial" w:cs="Arial" w:eastAsia="Arial" w:hAnsi="Arial"/>
                <w:sz w:val="18"/>
                <w:szCs w:val="18"/>
                <w:color w:val="auto"/>
              </w:rPr>
              <w:t>(529)</w:t>
            </w:r>
          </w:p>
        </w:tc>
        <w:tc>
          <w:tcPr>
            <w:tcW w:w="1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Piceance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700" w:type="dxa"/>
            <w:vAlign w:val="bottom"/>
          </w:tcPr>
          <w:p>
            <w:pPr>
              <w:ind w:left="20"/>
              <w:spacing w:after="0"/>
              <w:rPr>
                <w:sz w:val="20"/>
                <w:szCs w:val="20"/>
                <w:color w:val="auto"/>
              </w:rPr>
            </w:pPr>
            <w:r>
              <w:rPr>
                <w:rFonts w:ascii="Arial" w:cs="Arial" w:eastAsia="Arial" w:hAnsi="Arial"/>
                <w:sz w:val="18"/>
                <w:szCs w:val="18"/>
                <w:color w:val="auto"/>
              </w:rPr>
              <w:t>Northeast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Total MVC shortfall payment adjustments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13,212</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13,212</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(529)</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7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23"/>
                <w:szCs w:val="23"/>
                <w:b w:val="1"/>
                <w:bCs w:val="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13,212</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13,212</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(529)</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5700" w:type="dxa"/>
            <w:vAlign w:val="bottom"/>
          </w:tcPr>
          <w:p>
            <w:pPr>
              <w:spacing w:after="0"/>
              <w:rPr>
                <w:sz w:val="20"/>
                <w:szCs w:val="20"/>
                <w:color w:val="auto"/>
              </w:rPr>
            </w:pPr>
            <w:r>
              <w:rPr>
                <w:rFonts w:ascii="Arial" w:cs="Arial" w:eastAsia="Arial" w:hAnsi="Arial"/>
                <w:sz w:val="11"/>
                <w:szCs w:val="11"/>
                <w:color w:val="auto"/>
              </w:rPr>
              <w:t>__________</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Exclusive of Ohio Gathering and Double E due to equity method accounting.</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58" w:lineRule="exact"/>
        <w:rPr>
          <w:rFonts w:ascii="Arial" w:cs="Arial" w:eastAsia="Arial" w:hAnsi="Arial"/>
          <w:sz w:val="21"/>
          <w:szCs w:val="21"/>
          <w:color w:val="auto"/>
          <w:vertAlign w:val="superscript"/>
        </w:rPr>
      </w:pPr>
    </w:p>
    <w:p>
      <w:pPr>
        <w:ind w:left="5580"/>
        <w:spacing w:after="0"/>
        <w:rPr>
          <w:rFonts w:ascii="Arial" w:cs="Arial" w:eastAsia="Arial" w:hAnsi="Arial"/>
          <w:sz w:val="21"/>
          <w:szCs w:val="21"/>
          <w:color w:val="auto"/>
          <w:vertAlign w:val="superscript"/>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SMLP’s general partner continued to suspend cash distributions payable on its common units and on its 9.50%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Series A Fixed-to-Floating Rate Cumulative Redeemable Perpetual Preferred Units (the "Series A Preferred Units") for the period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2024. Pursuant to the Merger Agreement, at the effective time of the Merger (i) each common unit was automatically converted into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right to receive one share of common stock, par value $0.01,of SMC and (ii) each of the Series A Preferred Units was automatically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converted into the right to receive one share of Series A Floating Rate Cumulative Redeemable Perpetual Preferred Stock, par value $0.01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 share (“Series A Preferred Stock”), of SMC. The liquidation preference of each share of Series A Preferred Stock was initially equal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and the Certificate of Designation of Series A Floating Rate Cumulative Redeemable Perpetual Preferred Stock of Summit Midstream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Corporation (the “Certificate of Designation”) deemed all accumulated and unpaid distributions on the Series A Preferred Units to be Series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Unpaid Cash Dividends (as defined in the Certificate of Designation) per share of Series A Preferred Stock, which constituted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consideration to be paid in respect to such Series A Preferred Units, and any rights to accumulated and unpaid distributions on such Series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Preferred Units were discharged.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2024 Earnings Call Information</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SMC will host a conference call at 10:00 a.m. Eastern on August 9, 2024, to discuss its quarterly operating and financial results. The call can be accessed via teleconference at: </w:t>
      </w:r>
      <w:r>
        <w:rPr>
          <w:rFonts w:ascii="Arial" w:cs="Arial" w:eastAsia="Arial" w:hAnsi="Arial"/>
          <w:sz w:val="18"/>
          <w:szCs w:val="18"/>
          <w:color w:val="0000FF"/>
        </w:rPr>
        <w:t>Q2 2024 Summit Midstream Corporation Earnings Conference Call</w:t>
      </w:r>
      <w:r>
        <w:rPr>
          <w:rFonts w:ascii="Arial" w:cs="Arial" w:eastAsia="Arial" w:hAnsi="Arial"/>
          <w:sz w:val="18"/>
          <w:szCs w:val="18"/>
          <w:color w:val="auto"/>
        </w:rPr>
        <w:t xml:space="preserve"> (</w:t>
      </w:r>
      <w:r>
        <w:rPr>
          <w:rFonts w:ascii="Arial" w:cs="Arial" w:eastAsia="Arial" w:hAnsi="Arial"/>
          <w:sz w:val="18"/>
          <w:szCs w:val="18"/>
          <w:color w:val="0000FF"/>
        </w:rPr>
        <w:t>https://register.vevent.com/register/BI5642f88da4d246f9af0ef347fdc495ea</w:t>
      </w:r>
      <w:r>
        <w:rPr>
          <w:rFonts w:ascii="Arial" w:cs="Arial" w:eastAsia="Arial" w:hAnsi="Arial"/>
          <w:sz w:val="18"/>
          <w:szCs w:val="18"/>
          <w:color w:val="auto"/>
        </w:rPr>
        <w:t>). Once registration is completed, participants will receive a dial-in</w:t>
      </w:r>
    </w:p>
    <w:p>
      <w:pPr>
        <w:jc w:val="both"/>
        <w:spacing w:after="0" w:line="268" w:lineRule="auto"/>
        <w:rPr>
          <w:sz w:val="20"/>
          <w:szCs w:val="20"/>
          <w:color w:val="auto"/>
        </w:rPr>
      </w:pPr>
      <w:r>
        <w:rPr>
          <w:rFonts w:ascii="Arial" w:cs="Arial" w:eastAsia="Arial" w:hAnsi="Arial"/>
          <w:sz w:val="18"/>
          <w:szCs w:val="18"/>
          <w:color w:val="auto"/>
        </w:rPr>
        <w:t xml:space="preserve">number along with a personalized PIN to access the call. While not required, it is recommended that participants join 10 minutes prior to the event start. The conference call, live webcast and archive of the call can be accessed through the Investors section of SMC's website at </w:t>
      </w:r>
      <w:r>
        <w:rPr>
          <w:rFonts w:ascii="Arial" w:cs="Arial" w:eastAsia="Arial" w:hAnsi="Arial"/>
          <w:sz w:val="18"/>
          <w:szCs w:val="18"/>
          <w:color w:val="0000FF"/>
        </w:rPr>
        <w:t>www.summitmidstream.com</w:t>
      </w:r>
      <w:r>
        <w:rPr>
          <w:rFonts w:ascii="Arial" w:cs="Arial" w:eastAsia="Arial" w:hAnsi="Arial"/>
          <w:sz w:val="18"/>
          <w:szCs w:val="18"/>
          <w:color w:val="000000"/>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We report financial results in accordance with U.S. generally accepted accounting principles (“GAAP”). We also present adjusted EBITDA, segment adjusted EBITDA, Distributable Cash Flow, and Free Cash Flow, non-GAAP financial measures.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EBITDA</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define adjusted EBITDA as net income or loss, plus interest expense, income tax expense, depreciation and amortization, our proportional adjusted EBITDA for equity method investees, adjustments related to MVC shortfall payments, adjustments related to capital reimbursement activity, unit-based and noncash compensation, impairments, items of income or loss that we characterize as unrepresentative of our ongoing operations and other noncash expenses or losses, income tax benefit, income (loss) from equity method investees and other noncash income or gains. Because adjusted EBITDA may be defined differently by other entities in our industry, our definition of this non-GAAP financial measure may not be comparable to similarly titled measures of other entities, thereby diminishing its utility.</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Management uses adjusted EBITDA in making financial, operating and planning decisions and in evaluating our financial performance. Furthermore, management believes that adjusted EBITDA may provide external users of our financial statements, such as investors, commercial banks, research analysts and others, with additional meaningful comparisons between current results and results of prior periods as they are expected to be reflective of our core ongoing business.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is used as a supplemental financial measure to assess:</w:t>
      </w:r>
    </w:p>
    <w:p>
      <w:pPr>
        <w:spacing w:after="0" w:line="14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ability of our assets to generate cash sufficient to make future potential cash distributions and support our indebtedness;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financial performance of our assets without regard to financing methods, capital structure or historical cost basis;</w:t>
      </w:r>
    </w:p>
    <w:p>
      <w:pPr>
        <w:spacing w:after="0" w:line="139" w:lineRule="exact"/>
        <w:rPr>
          <w:rFonts w:ascii="Arial" w:cs="Arial" w:eastAsia="Arial" w:hAnsi="Arial"/>
          <w:sz w:val="22"/>
          <w:szCs w:val="22"/>
          <w:color w:val="auto"/>
        </w:rPr>
      </w:pPr>
    </w:p>
    <w:p>
      <w:pPr>
        <w:ind w:left="660" w:right="540" w:hanging="328"/>
        <w:spacing w:after="0" w:line="237"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our operating performance and return on capital as compared to those of other entities in the midstream energy sector, without regard to financing or capital structure;</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attractiveness of capital projects and acquisitions and the overall rates of return on alternative investment opportunities; and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right="60" w:hanging="328"/>
        <w:spacing w:after="0" w:line="249"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financial performance of our assets without regard to (i) income or loss from equity method investees, (ii) the impact of the timing of MVC shortfall payments under our gathering agreements or (iii) the timing of impairments or other income or expense items that we characterize as unrepresentative of our ongoing operations.</w:t>
      </w:r>
    </w:p>
    <w:p>
      <w:pPr>
        <w:spacing w:after="0" w:line="7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Adjusted EBITDA has limitations as an analytical tool and investors should not consider it in isolation or as a substitute for analysis of our results as reported under GAAP. For example:</w:t>
      </w:r>
    </w:p>
    <w:p>
      <w:pPr>
        <w:spacing w:after="0" w:line="85" w:lineRule="exact"/>
        <w:rPr>
          <w:sz w:val="20"/>
          <w:szCs w:val="20"/>
          <w:color w:val="auto"/>
        </w:rPr>
      </w:pPr>
    </w:p>
    <w:p>
      <w:pPr>
        <w:ind w:left="660" w:hanging="328"/>
        <w:spacing w:after="0" w:line="237"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certain items excluded from adjusted EBITDA are significant components in understanding and assessing an entity's financial performance, such as an entity's cost of capital and tax structure;</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adjusted EBITDA does not reflect changes in, or cash requirements for, our working capital needs; and</w:t>
      </w:r>
    </w:p>
    <w:p>
      <w:pPr>
        <w:spacing w:after="0" w:line="125"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16"/>
        </w:numPr>
        <w:rPr>
          <w:rFonts w:ascii="Arial" w:cs="Arial" w:eastAsia="Arial" w:hAnsi="Arial"/>
          <w:sz w:val="22"/>
          <w:szCs w:val="22"/>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compensate for the limitations of adjusted EBITDA as an analytical tool by reviewing the comparable GAAP financial measures, understanding the differences between the financial measures and incorporating these data points into our decision-making process.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Distributable Cash Flow</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define Distributable Cash Flow as adjusted EBITDA, as defined above, less cash interest paid, cash paid for taxes, net interest expense accrued and paid on the senior notes, and maintenance capital expenditures.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Free Cash Flow</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define free cash flow as distributable cash flow attributable to common and preferred unitholders less growth capital expenditures, less investments in equity method investees, less distributions to common and preferred unitholders. Free cash flow excludes proceeds from asset sales and cash consideration paid for acquisitions.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provide the GAAP financial measures of net income or loss or net cash provided by operating activities on a forward-looking basis because we are unable to predict, without unreasonable effort, certain components thereof including, but not limited to, (i) income or loss from equity method investees and (ii) asset impairments. These items are inherently uncertain and depend on various factors, many of which are beyond our control. As such, any associated estimate and its impact on our GAAP performance and cash flow measures could vary materially based on a variety of acceptable management assumptions.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Summit Midstream Corporation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SMC is a value-driven corporation focused on developing, owning and operating midstream energy infrastructure assets that are strategically located in the core producing areas of unconventional resource basins, primarily shale formations, in the continental United States. SMC provides natural gas, crude oil and produced water gathering, processing and transportation services pursuant to primarily long-term, fee-based agreements with customers and counterparties in four unconventional resource basins: (i) the Williston Basin, which includes the Bakken and Three Forks shale formations in North Dakota; (ii) the Denver-Julesburg Basin, which includes the Niobrara and Codell shale formations in Colorado and Wyoming; (iii) the Fort Worth Basin, which includes the Barnett Shale formation in Texas; and (iv) the Piceance Basin, which includes the Mesaverde formation as well as the Mancos and Niobrara shale formations in Colorado. SMC has an equity method investment in Double E Pipeline, LLC, which provides interstate natural gas transportation service from multiple receipt points in the Delaware Basin to various delivery points in and around the Waha Hub in Texas. SMC is headquartered in Houston, Texas.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press release includes certain statements concerning expectations for the future that are forward-looking within the meaning of the federal securities laws.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statement concerning future financial performance (including future revenues, earnings or growth rates), ongoing business strategies and possible actions taken by SMC or its subsidiaries are also forward-looking statements. Forward-looking statements also contain known and unknown risks and uncertainties (many of which are difficult to predict and beyond management's control) that may cause SMC's actual results in future periods to differ materially from anticipated or projected results. An extensive list of specific material risks and uncertainties affecting SMC is contained in SMC’s Registration Statement on Form S-4 (Registration No. 333-279903), as declared effective on June 14, 2024. Any forward-looking statements in this press release are made as of the date of this press release and SMC undertakes no obligation to update or revise any forward-looking statements to reflect new information or events.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1260" w:type="dxa"/>
            <w:vAlign w:val="bottom"/>
          </w:tcPr>
          <w:p>
            <w:pPr>
              <w:jc w:val="right"/>
              <w:ind w:right="171"/>
              <w:spacing w:after="0"/>
              <w:rPr>
                <w:sz w:val="20"/>
                <w:szCs w:val="20"/>
                <w:color w:val="auto"/>
              </w:rPr>
            </w:pPr>
            <w:r>
              <w:rPr>
                <w:rFonts w:ascii="Arial" w:cs="Arial" w:eastAsia="Arial" w:hAnsi="Arial"/>
                <w:sz w:val="14"/>
                <w:szCs w:val="14"/>
                <w:b w:val="1"/>
                <w:bCs w:val="1"/>
                <w:color w:val="auto"/>
              </w:rPr>
              <w:t>December 31,</w:t>
            </w:r>
          </w:p>
        </w:tc>
      </w:tr>
      <w:tr>
        <w:trPr>
          <w:trHeight w:val="205"/>
        </w:trPr>
        <w:tc>
          <w:tcPr>
            <w:tcW w:w="8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r>
      <w:tr>
        <w:trPr>
          <w:trHeight w:val="214"/>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4"/>
          </w:tcPr>
          <w:p>
            <w:pPr>
              <w:jc w:val="right"/>
              <w:ind w:right="911"/>
              <w:spacing w:after="0"/>
              <w:rPr>
                <w:sz w:val="20"/>
                <w:szCs w:val="20"/>
                <w:color w:val="auto"/>
              </w:rPr>
            </w:pPr>
            <w:r>
              <w:rPr>
                <w:rFonts w:ascii="Arial" w:cs="Arial" w:eastAsia="Arial" w:hAnsi="Arial"/>
                <w:sz w:val="14"/>
                <w:szCs w:val="14"/>
                <w:b w:val="1"/>
                <w:bCs w:val="1"/>
                <w:color w:val="auto"/>
              </w:rPr>
              <w:t>(In thousands)</w:t>
            </w:r>
          </w:p>
        </w:tc>
      </w:tr>
      <w:tr>
        <w:trPr>
          <w:trHeight w:val="278"/>
        </w:trPr>
        <w:tc>
          <w:tcPr>
            <w:tcW w:w="8240" w:type="dxa"/>
            <w:vAlign w:val="bottom"/>
          </w:tcPr>
          <w:p>
            <w:pPr>
              <w:ind w:left="376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8"/>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14,044</w:t>
            </w:r>
          </w:p>
        </w:tc>
      </w:tr>
      <w:tr>
        <w:trPr>
          <w:trHeight w:val="247"/>
        </w:trPr>
        <w:tc>
          <w:tcPr>
            <w:tcW w:w="824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2,601</w:t>
            </w:r>
          </w:p>
        </w:tc>
      </w:tr>
      <w:tr>
        <w:trPr>
          <w:trHeight w:val="23"/>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76,275</w:t>
            </w:r>
          </w:p>
        </w:tc>
      </w:tr>
      <w:tr>
        <w:trPr>
          <w:trHeight w:val="247"/>
        </w:trPr>
        <w:tc>
          <w:tcPr>
            <w:tcW w:w="8240" w:type="dxa"/>
            <w:vAlign w:val="bottom"/>
          </w:tcPr>
          <w:p>
            <w:pPr>
              <w:ind w:left="14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5,502</w:t>
            </w:r>
          </w:p>
        </w:tc>
      </w:tr>
      <w:tr>
        <w:trPr>
          <w:trHeight w:val="23"/>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221,434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98,422</w:t>
            </w:r>
          </w:p>
        </w:tc>
      </w:tr>
      <w:tr>
        <w:trPr>
          <w:trHeight w:val="247"/>
        </w:trPr>
        <w:tc>
          <w:tcPr>
            <w:tcW w:w="82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1,366,522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1,698,585</w:t>
            </w:r>
          </w:p>
        </w:tc>
      </w:tr>
      <w:tr>
        <w:trPr>
          <w:trHeight w:val="23"/>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175,592</w:t>
            </w:r>
          </w:p>
        </w:tc>
      </w:tr>
      <w:tr>
        <w:trPr>
          <w:trHeight w:val="247"/>
        </w:trPr>
        <w:tc>
          <w:tcPr>
            <w:tcW w:w="8240" w:type="dxa"/>
            <w:vAlign w:val="bottom"/>
          </w:tcPr>
          <w:p>
            <w:pPr>
              <w:ind w:left="20"/>
              <w:spacing w:after="0"/>
              <w:rPr>
                <w:sz w:val="20"/>
                <w:szCs w:val="20"/>
                <w:color w:val="auto"/>
              </w:rPr>
            </w:pPr>
            <w:r>
              <w:rPr>
                <w:rFonts w:ascii="Arial" w:cs="Arial" w:eastAsia="Arial" w:hAnsi="Arial"/>
                <w:sz w:val="18"/>
                <w:szCs w:val="18"/>
                <w:color w:val="auto"/>
              </w:rPr>
              <w:t>Investment in equity method investees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271,622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486,434</w:t>
            </w:r>
          </w:p>
        </w:tc>
      </w:tr>
      <w:tr>
        <w:trPr>
          <w:trHeight w:val="23"/>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35,165</w:t>
            </w:r>
          </w:p>
        </w:tc>
      </w:tr>
      <w:tr>
        <w:trPr>
          <w:trHeight w:val="264"/>
        </w:trPr>
        <w:tc>
          <w:tcPr>
            <w:tcW w:w="824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2,032,938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2,494,198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63"/>
        </w:trPr>
        <w:tc>
          <w:tcPr>
            <w:tcW w:w="8240" w:type="dxa"/>
            <w:vAlign w:val="bottom"/>
          </w:tcPr>
          <w:p>
            <w:pPr>
              <w:ind w:left="2980"/>
              <w:spacing w:after="0"/>
              <w:rPr>
                <w:sz w:val="20"/>
                <w:szCs w:val="20"/>
                <w:color w:val="auto"/>
              </w:rPr>
            </w:pPr>
            <w:r>
              <w:rPr>
                <w:rFonts w:ascii="Arial" w:cs="Arial" w:eastAsia="Arial" w:hAnsi="Arial"/>
                <w:sz w:val="18"/>
                <w:szCs w:val="18"/>
                <w:b w:val="1"/>
                <w:bCs w:val="1"/>
                <w:color w:val="auto"/>
              </w:rPr>
              <w:t>LIABILITIES AND CAPITAL</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8"/>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Trade 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22,714</w:t>
            </w:r>
          </w:p>
        </w:tc>
      </w:tr>
      <w:tr>
        <w:trPr>
          <w:trHeight w:val="247"/>
        </w:trPr>
        <w:tc>
          <w:tcPr>
            <w:tcW w:w="824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32,377</w:t>
            </w:r>
          </w:p>
        </w:tc>
      </w:tr>
      <w:tr>
        <w:trPr>
          <w:trHeight w:val="23"/>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10,196</w:t>
            </w:r>
          </w:p>
        </w:tc>
      </w:tr>
      <w:tr>
        <w:trPr>
          <w:trHeight w:val="247"/>
        </w:trPr>
        <w:tc>
          <w:tcPr>
            <w:tcW w:w="8240" w:type="dxa"/>
            <w:vAlign w:val="bottom"/>
          </w:tcPr>
          <w:p>
            <w:pPr>
              <w:ind w:left="140"/>
              <w:spacing w:after="0"/>
              <w:rPr>
                <w:sz w:val="20"/>
                <w:szCs w:val="20"/>
                <w:color w:val="auto"/>
              </w:rPr>
            </w:pPr>
            <w:r>
              <w:rPr>
                <w:rFonts w:ascii="Arial" w:cs="Arial" w:eastAsia="Arial" w:hAnsi="Arial"/>
                <w:sz w:val="18"/>
                <w:szCs w:val="18"/>
                <w:color w:val="auto"/>
              </w:rPr>
              <w:t>Ad valorem taxes payable</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8,543</w:t>
            </w:r>
          </w:p>
        </w:tc>
      </w:tr>
      <w:tr>
        <w:trPr>
          <w:trHeight w:val="23"/>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compensation and employee benefits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r>
      <w:tr>
        <w:trPr>
          <w:trHeight w:val="247"/>
        </w:trPr>
        <w:tc>
          <w:tcPr>
            <w:tcW w:w="8240" w:type="dxa"/>
            <w:vAlign w:val="bottom"/>
          </w:tcPr>
          <w:p>
            <w:pPr>
              <w:ind w:left="140"/>
              <w:spacing w:after="0"/>
              <w:rPr>
                <w:sz w:val="20"/>
                <w:szCs w:val="20"/>
                <w:color w:val="auto"/>
              </w:rPr>
            </w:pPr>
            <w:r>
              <w:rPr>
                <w:rFonts w:ascii="Arial" w:cs="Arial" w:eastAsia="Arial" w:hAnsi="Arial"/>
                <w:sz w:val="18"/>
                <w:szCs w:val="18"/>
                <w:color w:val="auto"/>
              </w:rPr>
              <w:t>Accrued interest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19,298</w:t>
            </w:r>
          </w:p>
        </w:tc>
      </w:tr>
      <w:tr>
        <w:trPr>
          <w:trHeight w:val="23"/>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environmental remediation</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47"/>
        </w:trPr>
        <w:tc>
          <w:tcPr>
            <w:tcW w:w="8240" w:type="dxa"/>
            <w:vAlign w:val="bottom"/>
          </w:tcPr>
          <w:p>
            <w:pPr>
              <w:ind w:left="140"/>
              <w:spacing w:after="0"/>
              <w:rPr>
                <w:sz w:val="20"/>
                <w:szCs w:val="20"/>
                <w:color w:val="auto"/>
              </w:rPr>
            </w:pPr>
            <w:r>
              <w:rPr>
                <w:rFonts w:ascii="Arial" w:cs="Arial" w:eastAsia="Arial" w:hAnsi="Arial"/>
                <w:sz w:val="18"/>
                <w:szCs w:val="18"/>
                <w:color w:val="auto"/>
              </w:rPr>
              <w:t>Accrued settlement payable</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6,667</w:t>
            </w:r>
          </w:p>
        </w:tc>
      </w:tr>
      <w:tr>
        <w:trPr>
          <w:trHeight w:val="23"/>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15,524</w:t>
            </w:r>
          </w:p>
        </w:tc>
      </w:tr>
      <w:tr>
        <w:trPr>
          <w:trHeight w:val="247"/>
        </w:trPr>
        <w:tc>
          <w:tcPr>
            <w:tcW w:w="824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10,395</w:t>
            </w:r>
          </w:p>
        </w:tc>
      </w:tr>
      <w:tr>
        <w:trPr>
          <w:trHeight w:val="23"/>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134,012</w:t>
            </w:r>
          </w:p>
        </w:tc>
      </w:tr>
      <w:tr>
        <w:trPr>
          <w:trHeight w:val="247"/>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861,676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1,455,166</w:t>
            </w:r>
          </w:p>
        </w:tc>
      </w:tr>
      <w:tr>
        <w:trPr>
          <w:trHeight w:val="23"/>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30,085</w:t>
            </w:r>
          </w:p>
        </w:tc>
      </w:tr>
      <w:tr>
        <w:trPr>
          <w:trHeight w:val="247"/>
        </w:trPr>
        <w:tc>
          <w:tcPr>
            <w:tcW w:w="8240" w:type="dxa"/>
            <w:vAlign w:val="bottom"/>
          </w:tcPr>
          <w:p>
            <w:pPr>
              <w:ind w:left="20"/>
              <w:spacing w:after="0"/>
              <w:rPr>
                <w:sz w:val="20"/>
                <w:szCs w:val="20"/>
                <w:color w:val="auto"/>
              </w:rPr>
            </w:pPr>
            <w:r>
              <w:rPr>
                <w:rFonts w:ascii="Arial" w:cs="Arial" w:eastAsia="Arial" w:hAnsi="Arial"/>
                <w:sz w:val="18"/>
                <w:szCs w:val="18"/>
                <w:color w:val="auto"/>
              </w:rPr>
              <w:t>Noncurrent accrued environmental remediation</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1,454</w:t>
            </w:r>
          </w:p>
        </w:tc>
      </w:tr>
      <w:tr>
        <w:trPr>
          <w:trHeight w:val="23"/>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30,266</w:t>
            </w:r>
          </w:p>
        </w:tc>
      </w:tr>
      <w:tr>
        <w:trPr>
          <w:trHeight w:val="240"/>
        </w:trPr>
        <w:tc>
          <w:tcPr>
            <w:tcW w:w="824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1,080,854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1,650,983</w:t>
            </w:r>
          </w:p>
        </w:tc>
      </w:tr>
      <w:tr>
        <w:trPr>
          <w:trHeight w:val="23"/>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5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r>
      <w:tr>
        <w:trPr>
          <w:trHeight w:val="216"/>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Mezzanine Capital</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7"/>
        </w:trPr>
        <w:tc>
          <w:tcPr>
            <w:tcW w:w="8240" w:type="dxa"/>
            <w:vAlign w:val="bottom"/>
          </w:tcPr>
          <w:p>
            <w:pPr>
              <w:ind w:left="20"/>
              <w:spacing w:after="0"/>
              <w:rPr>
                <w:sz w:val="20"/>
                <w:szCs w:val="20"/>
                <w:color w:val="auto"/>
              </w:rPr>
            </w:pPr>
            <w:r>
              <w:rPr>
                <w:rFonts w:ascii="Arial" w:cs="Arial" w:eastAsia="Arial" w:hAnsi="Arial"/>
                <w:sz w:val="18"/>
                <w:szCs w:val="18"/>
                <w:color w:val="auto"/>
              </w:rPr>
              <w:t>Subsidiary Series A Preferred Units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129,032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124,652</w:t>
            </w:r>
          </w:p>
        </w:tc>
      </w:tr>
      <w:tr>
        <w:trPr>
          <w:trHeight w:val="23"/>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6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Partners’Capital</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 Preferred Units</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96,893</w:t>
            </w:r>
          </w:p>
        </w:tc>
      </w:tr>
      <w:tr>
        <w:trPr>
          <w:trHeight w:val="247"/>
        </w:trPr>
        <w:tc>
          <w:tcPr>
            <w:tcW w:w="8240" w:type="dxa"/>
            <w:vAlign w:val="bottom"/>
          </w:tcPr>
          <w:p>
            <w:pPr>
              <w:ind w:left="20"/>
              <w:spacing w:after="0"/>
              <w:rPr>
                <w:sz w:val="20"/>
                <w:szCs w:val="20"/>
                <w:color w:val="auto"/>
              </w:rPr>
            </w:pPr>
            <w:r>
              <w:rPr>
                <w:rFonts w:ascii="Arial" w:cs="Arial" w:eastAsia="Arial" w:hAnsi="Arial"/>
                <w:sz w:val="18"/>
                <w:szCs w:val="18"/>
                <w:color w:val="auto"/>
              </w:rPr>
              <w:t>Common limited partner capital</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719,626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621,670</w:t>
            </w:r>
          </w:p>
        </w:tc>
      </w:tr>
      <w:tr>
        <w:trPr>
          <w:trHeight w:val="23"/>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823,052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718,563</w:t>
            </w:r>
          </w:p>
        </w:tc>
      </w:tr>
      <w:tr>
        <w:trPr>
          <w:trHeight w:val="264"/>
        </w:trPr>
        <w:tc>
          <w:tcPr>
            <w:tcW w:w="8240" w:type="dxa"/>
            <w:vAlign w:val="bottom"/>
          </w:tcPr>
          <w:p>
            <w:pPr>
              <w:ind w:left="260"/>
              <w:spacing w:after="0"/>
              <w:rPr>
                <w:sz w:val="20"/>
                <w:szCs w:val="20"/>
                <w:color w:val="auto"/>
              </w:rPr>
            </w:pPr>
            <w:r>
              <w:rPr>
                <w:rFonts w:ascii="Arial" w:cs="Arial" w:eastAsia="Arial" w:hAnsi="Arial"/>
                <w:sz w:val="18"/>
                <w:szCs w:val="18"/>
                <w:color w:val="auto"/>
              </w:rPr>
              <w:t>TOTAL LIABILITIES AND CAPITAL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2,032,938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2,494,198</w:t>
            </w: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912" w:right="3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 CONDENSED CONSOLIDATED STATEMENTS OF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62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Six Months Ended</w:t>
            </w:r>
          </w:p>
        </w:tc>
      </w:tr>
      <w:tr>
        <w:trPr>
          <w:trHeight w:val="205"/>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7"/>
                <w:szCs w:val="17"/>
                <w:color w:val="auto"/>
              </w:rPr>
            </w:pPr>
          </w:p>
        </w:tc>
        <w:tc>
          <w:tcPr>
            <w:tcW w:w="15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40" w:type="dxa"/>
            <w:vAlign w:val="bottom"/>
          </w:tcPr>
          <w:p>
            <w:pPr>
              <w:spacing w:after="0"/>
              <w:rPr>
                <w:sz w:val="17"/>
                <w:szCs w:val="17"/>
                <w:color w:val="auto"/>
              </w:rPr>
            </w:pPr>
          </w:p>
        </w:tc>
      </w:tr>
      <w:tr>
        <w:trPr>
          <w:trHeight w:val="223"/>
        </w:trPr>
        <w:tc>
          <w:tcPr>
            <w:tcW w:w="54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r>
      <w:tr>
        <w:trPr>
          <w:trHeight w:val="222"/>
        </w:trPr>
        <w:tc>
          <w:tcPr>
            <w:tcW w:w="5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(In thousands, except per unit amounts)</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8"/>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7"/>
        </w:trPr>
        <w:tc>
          <w:tcPr>
            <w:tcW w:w="5440" w:type="dxa"/>
            <w:vAlign w:val="bottom"/>
          </w:tcPr>
          <w:p>
            <w:pPr>
              <w:ind w:left="20"/>
              <w:spacing w:after="0"/>
              <w:rPr>
                <w:sz w:val="20"/>
                <w:szCs w:val="20"/>
                <w:color w:val="auto"/>
              </w:rPr>
            </w:pPr>
            <w:r>
              <w:rPr>
                <w:rFonts w:ascii="Arial" w:cs="Arial" w:eastAsia="Arial" w:hAnsi="Arial"/>
                <w:sz w:val="18"/>
                <w:szCs w:val="18"/>
                <w:color w:val="auto"/>
              </w:rPr>
              <w:t>Gathering services and related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45,213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57,086</w:t>
            </w:r>
          </w:p>
        </w:tc>
        <w:tc>
          <w:tcPr>
            <w:tcW w:w="140" w:type="dxa"/>
            <w:vAlign w:val="bottom"/>
          </w:tcPr>
          <w:p>
            <w:pPr>
              <w:spacing w:after="0"/>
              <w:rPr>
                <w:sz w:val="21"/>
                <w:szCs w:val="21"/>
                <w:color w:val="auto"/>
              </w:rPr>
            </w:pPr>
          </w:p>
        </w:tc>
        <w:tc>
          <w:tcPr>
            <w:tcW w:w="34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107,198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114,457</w:t>
            </w:r>
          </w:p>
        </w:tc>
      </w:tr>
      <w:tr>
        <w:trPr>
          <w:trHeight w:val="23"/>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NGLs and condensate sales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36,082</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85,245</w:t>
            </w:r>
          </w:p>
        </w:tc>
      </w:tr>
      <w:tr>
        <w:trPr>
          <w:trHeight w:val="247"/>
        </w:trPr>
        <w:tc>
          <w:tcPr>
            <w:tcW w:w="544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4,725</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10,690</w:t>
            </w:r>
          </w:p>
        </w:tc>
      </w:tr>
      <w:tr>
        <w:trPr>
          <w:trHeight w:val="23"/>
        </w:trPr>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5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97,893</w:t>
            </w:r>
          </w:p>
        </w:tc>
        <w:tc>
          <w:tcPr>
            <w:tcW w:w="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210,392</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5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natural gas and NGLs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19,975</w:t>
            </w:r>
          </w:p>
        </w:tc>
        <w:tc>
          <w:tcPr>
            <w:tcW w:w="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59,801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50,857</w:t>
            </w:r>
          </w:p>
        </w:tc>
      </w:tr>
      <w:tr>
        <w:trPr>
          <w:trHeight w:val="247"/>
        </w:trPr>
        <w:tc>
          <w:tcPr>
            <w:tcW w:w="5440" w:type="dxa"/>
            <w:vAlign w:val="bottom"/>
          </w:tcPr>
          <w:p>
            <w:pPr>
              <w:ind w:left="20"/>
              <w:spacing w:after="0"/>
              <w:rPr>
                <w:sz w:val="20"/>
                <w:szCs w:val="20"/>
                <w:color w:val="auto"/>
              </w:rPr>
            </w:pPr>
            <w:r>
              <w:rPr>
                <w:rFonts w:ascii="Arial" w:cs="Arial" w:eastAsia="Arial" w:hAnsi="Arial"/>
                <w:sz w:val="18"/>
                <w:szCs w:val="18"/>
                <w:color w:val="auto"/>
              </w:rPr>
              <w:t>Operation and maintenance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25,158</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49,130</w:t>
            </w:r>
          </w:p>
        </w:tc>
      </w:tr>
      <w:tr>
        <w:trPr>
          <w:trHeight w:val="23"/>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10,812</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20,799</w:t>
            </w:r>
          </w:p>
        </w:tc>
      </w:tr>
      <w:tr>
        <w:trPr>
          <w:trHeight w:val="247"/>
        </w:trPr>
        <w:tc>
          <w:tcPr>
            <w:tcW w:w="54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30,132</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59,956</w:t>
            </w:r>
          </w:p>
        </w:tc>
      </w:tr>
      <w:tr>
        <w:trPr>
          <w:trHeight w:val="23"/>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47"/>
        </w:trPr>
        <w:tc>
          <w:tcPr>
            <w:tcW w:w="5440" w:type="dxa"/>
            <w:vAlign w:val="bottom"/>
          </w:tcPr>
          <w:p>
            <w:pPr>
              <w:ind w:left="20"/>
              <w:spacing w:after="0"/>
              <w:rPr>
                <w:sz w:val="20"/>
                <w:szCs w:val="20"/>
                <w:color w:val="auto"/>
              </w:rPr>
            </w:pPr>
            <w:r>
              <w:rPr>
                <w:rFonts w:ascii="Arial" w:cs="Arial" w:eastAsia="Arial" w:hAnsi="Arial"/>
                <w:sz w:val="18"/>
                <w:szCs w:val="18"/>
                <w:color w:val="auto"/>
              </w:rPr>
              <w:t>Acquisition integration costs</w:t>
            </w:r>
          </w:p>
        </w:tc>
        <w:tc>
          <w:tcPr>
            <w:tcW w:w="3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723</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2,225</w:t>
            </w:r>
          </w:p>
        </w:tc>
      </w:tr>
      <w:tr>
        <w:trPr>
          <w:trHeight w:val="23"/>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asset sales, net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7"/>
        </w:trPr>
        <w:tc>
          <w:tcPr>
            <w:tcW w:w="5440" w:type="dxa"/>
            <w:vAlign w:val="bottom"/>
          </w:tcPr>
          <w:p>
            <w:pPr>
              <w:ind w:left="20"/>
              <w:spacing w:after="0"/>
              <w:rPr>
                <w:sz w:val="20"/>
                <w:szCs w:val="20"/>
                <w:color w:val="auto"/>
              </w:rPr>
            </w:pPr>
            <w:r>
              <w:rPr>
                <w:rFonts w:ascii="Arial" w:cs="Arial" w:eastAsia="Arial" w:hAnsi="Arial"/>
                <w:sz w:val="18"/>
                <w:szCs w:val="18"/>
                <w:color w:val="auto"/>
              </w:rPr>
              <w:t>Long-lived asset impairments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67,936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3"/>
        </w:trPr>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5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87,660</w:t>
            </w:r>
          </w:p>
        </w:tc>
        <w:tc>
          <w:tcPr>
            <w:tcW w:w="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268,031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184,061</w:t>
            </w:r>
          </w:p>
        </w:tc>
      </w:tr>
      <w:tr>
        <w:trPr>
          <w:trHeight w:val="240"/>
        </w:trPr>
        <w:tc>
          <w:tcPr>
            <w:tcW w:w="54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w:t>
            </w:r>
          </w:p>
        </w:tc>
      </w:tr>
      <w:tr>
        <w:trPr>
          <w:trHeight w:val="23"/>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interest rate swaps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r>
      <w:tr>
        <w:trPr>
          <w:trHeight w:val="247"/>
        </w:trPr>
        <w:tc>
          <w:tcPr>
            <w:tcW w:w="5440" w:type="dxa"/>
            <w:vAlign w:val="bottom"/>
          </w:tcPr>
          <w:p>
            <w:pPr>
              <w:ind w:left="20"/>
              <w:spacing w:after="0"/>
              <w:rPr>
                <w:sz w:val="20"/>
                <w:szCs w:val="20"/>
                <w:color w:val="auto"/>
              </w:rPr>
            </w:pPr>
            <w:r>
              <w:rPr>
                <w:rFonts w:ascii="Arial" w:cs="Arial" w:eastAsia="Arial" w:hAnsi="Arial"/>
                <w:sz w:val="18"/>
                <w:szCs w:val="18"/>
                <w:color w:val="auto"/>
              </w:rPr>
              <w:t>Gain (loss) on sale of business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84,010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Ohio Gathering</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54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(35,175)</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(69,303)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(69,398)</w:t>
            </w:r>
          </w:p>
        </w:tc>
      </w:tr>
      <w:tr>
        <w:trPr>
          <w:trHeight w:val="23"/>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4"/>
        </w:trPr>
        <w:tc>
          <w:tcPr>
            <w:tcW w:w="5440" w:type="dxa"/>
            <w:vAlign w:val="bottom"/>
          </w:tcPr>
          <w:p>
            <w:pPr>
              <w:ind w:left="300"/>
              <w:spacing w:after="0" w:line="204" w:lineRule="exact"/>
              <w:rPr>
                <w:sz w:val="20"/>
                <w:szCs w:val="20"/>
                <w:color w:val="auto"/>
              </w:rPr>
            </w:pPr>
            <w:r>
              <w:rPr>
                <w:rFonts w:ascii="Arial" w:cs="Arial" w:eastAsia="Arial" w:hAnsi="Arial"/>
                <w:sz w:val="18"/>
                <w:szCs w:val="18"/>
                <w:color w:val="auto"/>
              </w:rPr>
              <w:t>Income (loss) before income taxes and equity method</w:t>
            </w: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39"/>
        </w:trPr>
        <w:tc>
          <w:tcPr>
            <w:tcW w:w="5440" w:type="dxa"/>
            <w:vAlign w:val="bottom"/>
          </w:tcPr>
          <w:p>
            <w:pPr>
              <w:ind w:left="300"/>
              <w:spacing w:after="0"/>
              <w:rPr>
                <w:sz w:val="20"/>
                <w:szCs w:val="20"/>
                <w:color w:val="auto"/>
              </w:rPr>
            </w:pPr>
            <w:r>
              <w:rPr>
                <w:rFonts w:ascii="Arial" w:cs="Arial" w:eastAsia="Arial" w:hAnsi="Arial"/>
                <w:sz w:val="18"/>
                <w:szCs w:val="18"/>
                <w:color w:val="auto"/>
              </w:rPr>
              <w:t>investment income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(20,722)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93,787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(40,046)</w:t>
            </w:r>
          </w:p>
        </w:tc>
      </w:tr>
      <w:tr>
        <w:trPr>
          <w:trHeight w:val="23"/>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47"/>
        </w:trPr>
        <w:tc>
          <w:tcPr>
            <w:tcW w:w="5440" w:type="dxa"/>
            <w:vAlign w:val="bottom"/>
          </w:tcPr>
          <w:p>
            <w:pPr>
              <w:ind w:left="20"/>
              <w:spacing w:after="0"/>
              <w:rPr>
                <w:sz w:val="20"/>
                <w:szCs w:val="20"/>
                <w:color w:val="auto"/>
              </w:rPr>
            </w:pPr>
            <w:r>
              <w:rPr>
                <w:rFonts w:ascii="Arial" w:cs="Arial" w:eastAsia="Arial" w:hAnsi="Arial"/>
                <w:sz w:val="18"/>
                <w:szCs w:val="18"/>
                <w:color w:val="auto"/>
              </w:rPr>
              <w:t>Income from equity method investees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7,182</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12,091</w:t>
            </w:r>
          </w:p>
        </w:tc>
      </w:tr>
      <w:tr>
        <w:trPr>
          <w:trHeight w:val="23"/>
        </w:trPr>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5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109,149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7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per limited partner unit:</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7"/>
        </w:trPr>
        <w:tc>
          <w:tcPr>
            <w:tcW w:w="5440" w:type="dxa"/>
            <w:vAlign w:val="bottom"/>
          </w:tcPr>
          <w:p>
            <w:pPr>
              <w:ind w:left="140"/>
              <w:spacing w:after="0"/>
              <w:rPr>
                <w:sz w:val="20"/>
                <w:szCs w:val="20"/>
                <w:color w:val="auto"/>
              </w:rPr>
            </w:pPr>
            <w:r>
              <w:rPr>
                <w:rFonts w:ascii="Arial" w:cs="Arial" w:eastAsia="Arial" w:hAnsi="Arial"/>
                <w:sz w:val="18"/>
                <w:szCs w:val="18"/>
                <w:color w:val="auto"/>
              </w:rPr>
              <w:t>Common unit –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21"/>
                <w:szCs w:val="21"/>
                <w:color w:val="auto"/>
              </w:rPr>
            </w:pPr>
          </w:p>
        </w:tc>
        <w:tc>
          <w:tcPr>
            <w:tcW w:w="34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3"/>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Common unit –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56"/>
        </w:trPr>
        <w:tc>
          <w:tcPr>
            <w:tcW w:w="5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limited partner units outstanding:</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7"/>
        </w:trPr>
        <w:tc>
          <w:tcPr>
            <w:tcW w:w="5440" w:type="dxa"/>
            <w:vAlign w:val="bottom"/>
          </w:tcPr>
          <w:p>
            <w:pPr>
              <w:ind w:left="140"/>
              <w:spacing w:after="0"/>
              <w:rPr>
                <w:sz w:val="20"/>
                <w:szCs w:val="20"/>
                <w:color w:val="auto"/>
              </w:rPr>
            </w:pPr>
            <w:r>
              <w:rPr>
                <w:rFonts w:ascii="Arial" w:cs="Arial" w:eastAsia="Arial" w:hAnsi="Arial"/>
                <w:sz w:val="18"/>
                <w:szCs w:val="18"/>
                <w:color w:val="auto"/>
              </w:rPr>
              <w:t>Common units – basic</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10,369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10,291</w:t>
            </w:r>
          </w:p>
        </w:tc>
      </w:tr>
      <w:tr>
        <w:trPr>
          <w:trHeight w:val="23"/>
        </w:trPr>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7"/>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units – diluted</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10,291</w:t>
            </w:r>
          </w:p>
        </w:tc>
      </w:tr>
      <w:tr>
        <w:trPr>
          <w:trHeight w:val="23"/>
        </w:trPr>
        <w:tc>
          <w:tcPr>
            <w:tcW w:w="5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ectPr>
          <w:pgSz w:w="11900" w:h="16838" w:orient="portrait"/>
          <w:cols w:equalWidth="0" w:num="1">
            <w:col w:w="11220"/>
          </w:cols>
          <w:pgMar w:left="320" w:top="91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20"/>
          </w:cols>
          <w:pgMar w:left="320" w:top="912" w:right="35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OTHER FINANCIAL AND OPERATING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2600" w:type="dxa"/>
            <w:vAlign w:val="bottom"/>
            <w:gridSpan w:val="3"/>
          </w:tcPr>
          <w:p>
            <w:pPr>
              <w:jc w:val="right"/>
              <w:ind w:right="431"/>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5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r>
      <w:tr>
        <w:trPr>
          <w:trHeight w:val="222"/>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2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8"/>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financial data:</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7"/>
        </w:trPr>
        <w:tc>
          <w:tcPr>
            <w:tcW w:w="56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(23,778)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(13,540)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109,149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(27,703)</w:t>
            </w:r>
          </w:p>
        </w:tc>
      </w:tr>
      <w:tr>
        <w:trPr>
          <w:trHeight w:val="2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(12,643)</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30,973</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51,640</w:t>
            </w:r>
          </w:p>
        </w:tc>
      </w:tr>
      <w:tr>
        <w:trPr>
          <w:trHeight w:val="247"/>
        </w:trPr>
        <w:tc>
          <w:tcPr>
            <w:tcW w:w="56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10,522</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26,920</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32,178</w:t>
            </w:r>
          </w:p>
        </w:tc>
      </w:tr>
      <w:tr>
        <w:trPr>
          <w:trHeight w:val="2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Contributions to equity method investees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442</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442</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47"/>
        </w:trPr>
        <w:tc>
          <w:tcPr>
            <w:tcW w:w="56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43,148</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58,603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113,207</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119,038</w:t>
            </w:r>
          </w:p>
        </w:tc>
      </w:tr>
      <w:tr>
        <w:trPr>
          <w:trHeight w:val="2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Cash flow available for distributions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11,697</w:t>
            </w:r>
          </w:p>
        </w:tc>
        <w:tc>
          <w:tcPr>
            <w:tcW w:w="3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44,231</w:t>
            </w: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49,308</w:t>
            </w:r>
          </w:p>
        </w:tc>
      </w:tr>
      <w:tr>
        <w:trPr>
          <w:trHeight w:val="247"/>
        </w:trPr>
        <w:tc>
          <w:tcPr>
            <w:tcW w:w="562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2,723</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19,901</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16,684</w:t>
            </w:r>
          </w:p>
        </w:tc>
      </w:tr>
      <w:tr>
        <w:trPr>
          <w:trHeight w:val="2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Distributions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70"/>
        </w:trPr>
        <w:tc>
          <w:tcPr>
            <w:tcW w:w="5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data:</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396"/>
        </w:trPr>
        <w:tc>
          <w:tcPr>
            <w:tcW w:w="5620" w:type="dxa"/>
            <w:vAlign w:val="bottom"/>
          </w:tcPr>
          <w:p>
            <w:pPr>
              <w:ind w:left="20"/>
              <w:spacing w:after="0"/>
              <w:rPr>
                <w:sz w:val="20"/>
                <w:szCs w:val="20"/>
                <w:color w:val="auto"/>
              </w:rPr>
            </w:pPr>
            <w:r>
              <w:rPr>
                <w:rFonts w:ascii="Arial" w:cs="Arial" w:eastAsia="Arial" w:hAnsi="Arial"/>
                <w:sz w:val="18"/>
                <w:szCs w:val="18"/>
                <w:color w:val="auto"/>
              </w:rPr>
              <w:t>Aggregate average daily throughput – natural gas (MMcf/d)</w:t>
            </w:r>
          </w:p>
        </w:tc>
        <w:tc>
          <w:tcPr>
            <w:tcW w:w="200" w:type="dxa"/>
            <w:vAlign w:val="bottom"/>
          </w:tcPr>
          <w:p>
            <w:pPr>
              <w:spacing w:after="0"/>
              <w:rPr>
                <w:sz w:val="24"/>
                <w:szCs w:val="24"/>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716</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1,023</w:t>
            </w: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1,197</w:t>
            </w:r>
          </w:p>
        </w:tc>
      </w:tr>
      <w:tr>
        <w:trPr>
          <w:trHeight w:val="2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average daily throughput – liquids (Mbbl/d)</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75</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5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Ohio Gathering average daily throughput (MMcf/d)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425</w:t>
            </w: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316"/>
        </w:trPr>
        <w:tc>
          <w:tcPr>
            <w:tcW w:w="5620" w:type="dxa"/>
            <w:vAlign w:val="bottom"/>
          </w:tcPr>
          <w:p>
            <w:pPr>
              <w:ind w:left="20"/>
              <w:spacing w:after="0"/>
              <w:rPr>
                <w:sz w:val="20"/>
                <w:szCs w:val="20"/>
                <w:color w:val="auto"/>
              </w:rPr>
            </w:pPr>
            <w:r>
              <w:rPr>
                <w:rFonts w:ascii="Arial" w:cs="Arial" w:eastAsia="Arial" w:hAnsi="Arial"/>
                <w:sz w:val="18"/>
                <w:szCs w:val="18"/>
                <w:color w:val="auto"/>
              </w:rPr>
              <w:t xml:space="preserve">Double E average daily throughput (MMcf/d) </w:t>
            </w:r>
            <w:r>
              <w:rPr>
                <w:rFonts w:ascii="Arial" w:cs="Arial" w:eastAsia="Arial" w:hAnsi="Arial"/>
                <w:sz w:val="23"/>
                <w:szCs w:val="23"/>
                <w:color w:val="auto"/>
                <w:vertAlign w:val="superscript"/>
              </w:rPr>
              <w:t>(4)</w:t>
            </w:r>
          </w:p>
        </w:tc>
        <w:tc>
          <w:tcPr>
            <w:tcW w:w="200" w:type="dxa"/>
            <w:vAlign w:val="bottom"/>
          </w:tcPr>
          <w:p>
            <w:pPr>
              <w:spacing w:after="0"/>
              <w:rPr>
                <w:sz w:val="24"/>
                <w:szCs w:val="24"/>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549</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508</w:t>
            </w: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02"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Cash flow available for distributions is also referred to as Distributable Cash Flow, or DCF.</w:t>
      </w:r>
    </w:p>
    <w:p>
      <w:pPr>
        <w:spacing w:after="0" w:line="122" w:lineRule="exact"/>
        <w:rPr>
          <w:rFonts w:ascii="Arial" w:cs="Arial" w:eastAsia="Arial" w:hAnsi="Arial"/>
          <w:sz w:val="21"/>
          <w:szCs w:val="21"/>
          <w:color w:val="auto"/>
          <w:vertAlign w:val="superscript"/>
        </w:rPr>
      </w:pPr>
    </w:p>
    <w:p>
      <w:pPr>
        <w:ind w:left="340" w:right="120" w:hanging="332"/>
        <w:spacing w:after="0" w:line="233" w:lineRule="auto"/>
        <w:tabs>
          <w:tab w:leader="none" w:pos="333"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Represents distributions declared and ultimately paid or expected to be paid to preferred and common unitholders in respect of a given period. On May 3, 2020, the board of directors of SMLP’s general partner announced an immediate suspension of the cash distributions payable on its preferred and common units. Excludes distributions paid on the Subsidiary Series A Preferred Units issued at Summit Permian Transmission Holdco, LLC.</w:t>
      </w:r>
    </w:p>
    <w:p>
      <w:pPr>
        <w:spacing w:after="0" w:line="96"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Gross basis, represents 100% of volume throughput for Ohio Gathering, subject to a one-month lag.</w:t>
      </w:r>
    </w:p>
    <w:p>
      <w:pPr>
        <w:spacing w:after="0" w:line="109"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Gross basis, represents 100% of volume throughput for Double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34"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 RECONCILIATIONS TO NON-GAAP FINANCIAL MEASURES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26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5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r>
      <w:tr>
        <w:trPr>
          <w:trHeight w:val="214"/>
        </w:trPr>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88"/>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Reconciliations of net income to adjusted EBITDA and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Distributable</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4"/>
        </w:trPr>
        <w:tc>
          <w:tcPr>
            <w:tcW w:w="5460" w:type="dxa"/>
            <w:vAlign w:val="bottom"/>
          </w:tcPr>
          <w:p>
            <w:pPr>
              <w:ind w:left="220"/>
              <w:spacing w:after="0"/>
              <w:rPr>
                <w:sz w:val="20"/>
                <w:szCs w:val="20"/>
                <w:color w:val="auto"/>
              </w:rPr>
            </w:pPr>
            <w:r>
              <w:rPr>
                <w:rFonts w:ascii="Arial" w:cs="Arial" w:eastAsia="Arial" w:hAnsi="Arial"/>
                <w:sz w:val="18"/>
                <w:szCs w:val="18"/>
                <w:b w:val="1"/>
                <w:bCs w:val="1"/>
                <w:color w:val="auto"/>
              </w:rPr>
              <w:t>Cash Flow:</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109,149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(27,703)</w:t>
            </w:r>
          </w:p>
        </w:tc>
      </w:tr>
      <w:tr>
        <w:trPr>
          <w:trHeight w:val="263"/>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8"/>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69,398</w:t>
            </w:r>
          </w:p>
        </w:tc>
      </w:tr>
      <w:tr>
        <w:trPr>
          <w:trHeight w:val="247"/>
        </w:trPr>
        <w:tc>
          <w:tcPr>
            <w:tcW w:w="5460" w:type="dxa"/>
            <w:vAlign w:val="bottom"/>
          </w:tcPr>
          <w:p>
            <w:pPr>
              <w:ind w:left="14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3"/>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60,425</w:t>
            </w:r>
          </w:p>
        </w:tc>
      </w:tr>
      <w:tr>
        <w:trPr>
          <w:trHeight w:val="418"/>
        </w:trPr>
        <w:tc>
          <w:tcPr>
            <w:tcW w:w="5460" w:type="dxa"/>
            <w:vAlign w:val="bottom"/>
          </w:tcPr>
          <w:p>
            <w:pPr>
              <w:ind w:left="140"/>
              <w:spacing w:after="0"/>
              <w:rPr>
                <w:sz w:val="20"/>
                <w:szCs w:val="20"/>
                <w:color w:val="auto"/>
              </w:rPr>
            </w:pPr>
            <w:r>
              <w:rPr>
                <w:rFonts w:ascii="Arial" w:cs="Arial" w:eastAsia="Arial" w:hAnsi="Arial"/>
                <w:sz w:val="18"/>
                <w:szCs w:val="18"/>
                <w:color w:val="auto"/>
              </w:rPr>
              <w:t xml:space="preserve">Proportional adjusted EBITDA for equity method investees </w:t>
            </w:r>
            <w:r>
              <w:rPr>
                <w:rFonts w:ascii="Arial" w:cs="Arial" w:eastAsia="Arial" w:hAnsi="Arial"/>
                <w:sz w:val="23"/>
                <w:szCs w:val="23"/>
                <w:color w:val="auto"/>
                <w:vertAlign w:val="superscript"/>
              </w:rPr>
              <w:t>(2)</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6,842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25,738</w:t>
            </w:r>
          </w:p>
        </w:tc>
      </w:tr>
      <w:tr>
        <w:trPr>
          <w:trHeight w:val="418"/>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Adjustments related to capital reimbursement activity </w:t>
            </w:r>
            <w:r>
              <w:rPr>
                <w:rFonts w:ascii="Arial" w:cs="Arial" w:eastAsia="Arial" w:hAnsi="Arial"/>
                <w:sz w:val="23"/>
                <w:szCs w:val="23"/>
                <w:color w:val="auto"/>
                <w:vertAlign w:val="superscript"/>
              </w:rPr>
              <w:t>(3)</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r>
      <w:tr>
        <w:trPr>
          <w:trHeight w:val="247"/>
        </w:trPr>
        <w:tc>
          <w:tcPr>
            <w:tcW w:w="5460" w:type="dxa"/>
            <w:vAlign w:val="bottom"/>
          </w:tcPr>
          <w:p>
            <w:pPr>
              <w:ind w:left="140"/>
              <w:spacing w:after="0"/>
              <w:rPr>
                <w:sz w:val="20"/>
                <w:szCs w:val="20"/>
                <w:color w:val="auto"/>
              </w:rPr>
            </w:pPr>
            <w:r>
              <w:rPr>
                <w:rFonts w:ascii="Arial" w:cs="Arial" w:eastAsia="Arial" w:hAnsi="Arial"/>
                <w:sz w:val="18"/>
                <w:szCs w:val="18"/>
                <w:color w:val="auto"/>
              </w:rPr>
              <w:t>Unit-based and noncash compensation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3,762</w:t>
            </w:r>
          </w:p>
        </w:tc>
      </w:tr>
      <w:tr>
        <w:trPr>
          <w:trHeight w:val="23"/>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Loss on early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5460" w:type="dxa"/>
            <w:vAlign w:val="bottom"/>
          </w:tcPr>
          <w:p>
            <w:pPr>
              <w:ind w:left="140"/>
              <w:spacing w:after="0"/>
              <w:rPr>
                <w:sz w:val="20"/>
                <w:szCs w:val="20"/>
                <w:color w:val="auto"/>
              </w:rPr>
            </w:pPr>
            <w:r>
              <w:rPr>
                <w:rFonts w:ascii="Arial" w:cs="Arial" w:eastAsia="Arial" w:hAnsi="Arial"/>
                <w:sz w:val="18"/>
                <w:szCs w:val="18"/>
                <w:color w:val="auto"/>
              </w:rPr>
              <w:t>(Gain) loss on asset sales, net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Long-lived asset impairment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47"/>
        </w:trPr>
        <w:tc>
          <w:tcPr>
            <w:tcW w:w="5460" w:type="dxa"/>
            <w:vAlign w:val="bottom"/>
          </w:tcPr>
          <w:p>
            <w:pPr>
              <w:ind w:left="140"/>
              <w:spacing w:after="0"/>
              <w:rPr>
                <w:sz w:val="20"/>
                <w:szCs w:val="20"/>
                <w:color w:val="auto"/>
              </w:rPr>
            </w:pPr>
            <w:r>
              <w:rPr>
                <w:rFonts w:ascii="Arial" w:cs="Arial" w:eastAsia="Arial" w:hAnsi="Arial"/>
                <w:sz w:val="18"/>
                <w:szCs w:val="18"/>
                <w:color w:val="auto"/>
              </w:rPr>
              <w:t>Gain on interest rate swaps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(1,995)</w:t>
            </w:r>
          </w:p>
        </w:tc>
      </w:tr>
      <w:tr>
        <w:trPr>
          <w:trHeight w:val="23"/>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sale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7"/>
        </w:trPr>
        <w:tc>
          <w:tcPr>
            <w:tcW w:w="5460" w:type="dxa"/>
            <w:vAlign w:val="bottom"/>
          </w:tcPr>
          <w:p>
            <w:pPr>
              <w:ind w:left="140"/>
              <w:spacing w:after="0"/>
              <w:rPr>
                <w:sz w:val="20"/>
                <w:szCs w:val="20"/>
                <w:color w:val="auto"/>
              </w:rPr>
            </w:pPr>
            <w:r>
              <w:rPr>
                <w:rFonts w:ascii="Arial" w:cs="Arial" w:eastAsia="Arial" w:hAnsi="Arial"/>
                <w:sz w:val="18"/>
                <w:szCs w:val="18"/>
                <w:color w:val="auto"/>
              </w:rPr>
              <w:t>Gain on sale of Ohio Gathering</w:t>
            </w:r>
          </w:p>
        </w:tc>
        <w:tc>
          <w:tcPr>
            <w:tcW w:w="2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(126,261)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Other, net </w:t>
            </w:r>
            <w:r>
              <w:rPr>
                <w:rFonts w:ascii="Arial" w:cs="Arial" w:eastAsia="Arial" w:hAnsi="Arial"/>
                <w:sz w:val="23"/>
                <w:szCs w:val="23"/>
                <w:color w:val="auto"/>
                <w:vertAlign w:val="superscript"/>
              </w:rPr>
              <w:t>(4)</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w:t>
            </w:r>
          </w:p>
        </w:tc>
      </w:tr>
      <w:tr>
        <w:trPr>
          <w:trHeight w:val="263"/>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Less:</w:t>
            </w: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8"/>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from equity method investees</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12,091</w:t>
            </w:r>
          </w:p>
        </w:tc>
      </w:tr>
      <w:tr>
        <w:trPr>
          <w:trHeight w:val="240"/>
        </w:trPr>
        <w:tc>
          <w:tcPr>
            <w:tcW w:w="5460" w:type="dxa"/>
            <w:vAlign w:val="bottom"/>
          </w:tcPr>
          <w:p>
            <w:pPr>
              <w:ind w:left="400"/>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43,148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58,603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113,207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119,038</w:t>
            </w:r>
          </w:p>
        </w:tc>
      </w:tr>
      <w:tr>
        <w:trPr>
          <w:trHeight w:val="23"/>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Less:</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7"/>
        </w:trPr>
        <w:tc>
          <w:tcPr>
            <w:tcW w:w="5460" w:type="dxa"/>
            <w:vAlign w:val="bottom"/>
          </w:tcPr>
          <w:p>
            <w:pPr>
              <w:ind w:left="140"/>
              <w:spacing w:after="0"/>
              <w:rPr>
                <w:sz w:val="20"/>
                <w:szCs w:val="20"/>
                <w:color w:val="auto"/>
              </w:rPr>
            </w:pPr>
            <w:r>
              <w:rPr>
                <w:rFonts w:ascii="Arial" w:cs="Arial" w:eastAsia="Arial" w:hAnsi="Arial"/>
                <w:sz w:val="18"/>
                <w:szCs w:val="18"/>
                <w:color w:val="auto"/>
              </w:rPr>
              <w:t>Cash interest paid</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56,597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65,807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62,587</w:t>
            </w:r>
          </w:p>
        </w:tc>
      </w:tr>
      <w:tr>
        <w:trPr>
          <w:trHeight w:val="23"/>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paid for taxes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5460" w:type="dxa"/>
            <w:vAlign w:val="bottom"/>
          </w:tcPr>
          <w:p>
            <w:pPr>
              <w:ind w:left="140"/>
              <w:spacing w:after="0"/>
              <w:rPr>
                <w:sz w:val="20"/>
                <w:szCs w:val="20"/>
                <w:color w:val="auto"/>
              </w:rPr>
            </w:pPr>
            <w:r>
              <w:rPr>
                <w:rFonts w:ascii="Arial" w:cs="Arial" w:eastAsia="Arial" w:hAnsi="Arial"/>
                <w:sz w:val="18"/>
                <w:szCs w:val="18"/>
                <w:color w:val="auto"/>
              </w:rPr>
              <w:t xml:space="preserve">Senior notes interest adjustment </w:t>
            </w:r>
            <w:r>
              <w:rPr>
                <w:rFonts w:ascii="Arial" w:cs="Arial" w:eastAsia="Arial" w:hAnsi="Arial"/>
                <w:sz w:val="23"/>
                <w:szCs w:val="23"/>
                <w:color w:val="auto"/>
                <w:vertAlign w:val="superscript"/>
              </w:rPr>
              <w:t>(5)</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(28,779)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(21,065)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70"/>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6,310</w:t>
            </w:r>
          </w:p>
        </w:tc>
      </w:tr>
      <w:tr>
        <w:trPr>
          <w:trHeight w:val="263"/>
        </w:trPr>
        <w:tc>
          <w:tcPr>
            <w:tcW w:w="5460" w:type="dxa"/>
            <w:vAlign w:val="bottom"/>
          </w:tcPr>
          <w:p>
            <w:pPr>
              <w:ind w:left="280"/>
              <w:spacing w:after="0"/>
              <w:rPr>
                <w:sz w:val="20"/>
                <w:szCs w:val="20"/>
                <w:color w:val="auto"/>
              </w:rPr>
            </w:pPr>
            <w:r>
              <w:rPr>
                <w:rFonts w:ascii="Arial" w:cs="Arial" w:eastAsia="Arial" w:hAnsi="Arial"/>
                <w:sz w:val="18"/>
                <w:szCs w:val="18"/>
                <w:color w:val="auto"/>
              </w:rPr>
              <w:t xml:space="preserve">Cash flow available for distributions </w:t>
            </w:r>
            <w:r>
              <w:rPr>
                <w:rFonts w:ascii="Arial" w:cs="Arial" w:eastAsia="Arial" w:hAnsi="Arial"/>
                <w:sz w:val="23"/>
                <w:szCs w:val="23"/>
                <w:color w:val="auto"/>
                <w:vertAlign w:val="superscript"/>
              </w:rPr>
              <w:t>(6)</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11,697</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24,405</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44,231</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49,308</w:t>
            </w:r>
          </w:p>
        </w:tc>
      </w:tr>
      <w:tr>
        <w:trPr>
          <w:trHeight w:val="27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Less:</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7"/>
        </w:trPr>
        <w:tc>
          <w:tcPr>
            <w:tcW w:w="5460" w:type="dxa"/>
            <w:vAlign w:val="bottom"/>
          </w:tcPr>
          <w:p>
            <w:pPr>
              <w:ind w:left="280"/>
              <w:spacing w:after="0"/>
              <w:rPr>
                <w:sz w:val="20"/>
                <w:szCs w:val="20"/>
                <w:color w:val="auto"/>
              </w:rPr>
            </w:pPr>
            <w:r>
              <w:rPr>
                <w:rFonts w:ascii="Arial" w:cs="Arial" w:eastAsia="Arial" w:hAnsi="Arial"/>
                <w:sz w:val="18"/>
                <w:szCs w:val="18"/>
                <w:color w:val="auto"/>
              </w:rPr>
              <w:t>Growth capital expenditures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25,868</w:t>
            </w:r>
          </w:p>
        </w:tc>
      </w:tr>
      <w:tr>
        <w:trPr>
          <w:trHeight w:val="23"/>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equity method investee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47"/>
        </w:trPr>
        <w:tc>
          <w:tcPr>
            <w:tcW w:w="5460" w:type="dxa"/>
            <w:vAlign w:val="bottom"/>
          </w:tcPr>
          <w:p>
            <w:pPr>
              <w:ind w:left="280"/>
              <w:spacing w:after="0"/>
              <w:rPr>
                <w:sz w:val="20"/>
                <w:szCs w:val="20"/>
                <w:color w:val="auto"/>
              </w:rPr>
            </w:pPr>
            <w:r>
              <w:rPr>
                <w:rFonts w:ascii="Arial" w:cs="Arial" w:eastAsia="Arial" w:hAnsi="Arial"/>
                <w:sz w:val="18"/>
                <w:szCs w:val="18"/>
                <w:color w:val="auto"/>
              </w:rPr>
              <w:t>Distributions on Subsidiary Series A Preferred Units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3,256</w:t>
            </w:r>
          </w:p>
        </w:tc>
      </w:tr>
      <w:tr>
        <w:trPr>
          <w:trHeight w:val="23"/>
        </w:trPr>
        <w:tc>
          <w:tcPr>
            <w:tcW w:w="5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Free Cash Flow</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89"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Includes the amortization expense associated with our favorable gas gathering contracts as reported in other revenues.</w:t>
      </w:r>
    </w:p>
    <w:p>
      <w:pPr>
        <w:spacing w:after="0" w:line="122" w:lineRule="exact"/>
        <w:rPr>
          <w:rFonts w:ascii="Arial" w:cs="Arial" w:eastAsia="Arial" w:hAnsi="Arial"/>
          <w:sz w:val="21"/>
          <w:szCs w:val="21"/>
          <w:color w:val="auto"/>
          <w:vertAlign w:val="superscript"/>
        </w:rPr>
      </w:pPr>
    </w:p>
    <w:p>
      <w:pPr>
        <w:jc w:val="both"/>
        <w:ind w:left="340" w:hanging="332"/>
        <w:spacing w:after="0" w:line="238" w:lineRule="auto"/>
        <w:tabs>
          <w:tab w:leader="none" w:pos="333"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Reflects our proportionate share of Double E and Ohio Gathering adjusted EBITDA. Summit records financial results of its investment in Ohio Gathering on a one-month lag and is based on the financial information available to us during the reporting period. With the divestiture of Ohio Gathering in March 2024, proportional adjusted EBITDA includes financial results from December 1, 2023 through March 22, 2024.</w:t>
      </w:r>
    </w:p>
    <w:p>
      <w:pPr>
        <w:spacing w:after="0" w:line="124" w:lineRule="exact"/>
        <w:rPr>
          <w:rFonts w:ascii="Arial" w:cs="Arial" w:eastAsia="Arial" w:hAnsi="Arial"/>
          <w:sz w:val="21"/>
          <w:szCs w:val="21"/>
          <w:color w:val="auto"/>
          <w:vertAlign w:val="superscript"/>
        </w:rPr>
      </w:pPr>
    </w:p>
    <w:p>
      <w:pPr>
        <w:ind w:left="340" w:hanging="332"/>
        <w:spacing w:after="0" w:line="227" w:lineRule="auto"/>
        <w:tabs>
          <w:tab w:leader="none" w:pos="333"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Adjustments related to capital reimbursement activity represent contributions in aid of construction revenue recognized in accordance with Accounting Standards Update No. 2014-09 Revenue from Contracts with Customers.</w:t>
      </w:r>
    </w:p>
    <w:p>
      <w:pPr>
        <w:spacing w:after="0" w:line="83" w:lineRule="exact"/>
        <w:rPr>
          <w:rFonts w:ascii="Arial" w:cs="Arial" w:eastAsia="Arial" w:hAnsi="Arial"/>
          <w:sz w:val="21"/>
          <w:szCs w:val="21"/>
          <w:color w:val="auto"/>
          <w:vertAlign w:val="superscript"/>
        </w:rPr>
      </w:pPr>
    </w:p>
    <w:p>
      <w:pPr>
        <w:jc w:val="both"/>
        <w:ind w:left="340" w:hanging="332"/>
        <w:spacing w:after="0" w:line="238" w:lineRule="auto"/>
        <w:tabs>
          <w:tab w:leader="none" w:pos="333"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Represents items of income or loss that we characterize as unrepresentative of our ongoing operations. For the six months ended June 30, 2024, the amount includes $13.3 million of transaction and other costs. For the six months ended June 30, 2023, the amount includes $2.2 million of integration costs, $2.1 million of transaction and other costs and $1.6 million of severance expense.</w:t>
      </w:r>
    </w:p>
    <w:p>
      <w:pPr>
        <w:sectPr>
          <w:pgSz w:w="11900" w:h="16838" w:orient="portrait"/>
          <w:cols w:equalWidth="0" w:num="1">
            <w:col w:w="11240"/>
          </w:cols>
          <w:pgMar w:left="320" w:top="9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912" w:right="339" w:bottom="1440" w:gutter="0" w:footer="0" w:header="0"/>
          <w:type w:val="continuous"/>
        </w:sectPr>
      </w:pPr>
    </w:p>
    <w:bookmarkStart w:id="15" w:name="page16"/>
    <w:bookmarkEnd w:id="15"/>
    <w:p>
      <w:pPr>
        <w:jc w:val="both"/>
        <w:ind w:left="340" w:hanging="332"/>
        <w:spacing w:after="0" w:line="238" w:lineRule="auto"/>
        <w:tabs>
          <w:tab w:leader="none" w:pos="333"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Senior notes interest adjustment represents the net of interest expense accrued and paid during the period. Interest on the 2025 Notes was paid in cash semi-annually in arrears on April 15 and October 15 until maturity in April 2025. Interest on the 2026 Secured Notes and the 12.00% Senior Notes due 2026 (the “2026 Unsecured Notes”) was paid in cash semi-annually in arrears on April 15 and October 15 until maturity in October 2026.</w:t>
      </w:r>
    </w:p>
    <w:p>
      <w:pPr>
        <w:spacing w:after="0" w:line="124" w:lineRule="exact"/>
        <w:rPr>
          <w:rFonts w:ascii="Arial" w:cs="Arial" w:eastAsia="Arial" w:hAnsi="Arial"/>
          <w:sz w:val="21"/>
          <w:szCs w:val="21"/>
          <w:color w:val="auto"/>
          <w:vertAlign w:val="superscript"/>
        </w:rPr>
      </w:pPr>
    </w:p>
    <w:p>
      <w:pPr>
        <w:ind w:left="340" w:hanging="332"/>
        <w:spacing w:after="0" w:line="235" w:lineRule="auto"/>
        <w:tabs>
          <w:tab w:leader="none" w:pos="333"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Represents cash flow available for distribution to preferred and common unitholders. Common distributions cannot be paid unless all accrued preferred distributions are paid. Cash flow available for distributions is also referred to as Distributable Cash Flow, or DCF.</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0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RECONCILIATIONS TO NON-GAAP FINANCIAL MEASURES</w:t>
      </w:r>
    </w:p>
    <w:p>
      <w:pPr>
        <w:spacing w:after="0" w:line="200"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32385</wp:posOffset>
            </wp:positionV>
            <wp:extent cx="19284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62" w:lineRule="exact"/>
        <w:rPr>
          <w:sz w:val="20"/>
          <w:szCs w:val="20"/>
          <w:color w:val="auto"/>
        </w:rPr>
      </w:pPr>
    </w:p>
    <w:p>
      <w:pPr>
        <w:ind w:left="8740"/>
        <w:spacing w:after="0"/>
        <w:tabs>
          <w:tab w:leader="none" w:pos="1028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32385</wp:posOffset>
            </wp:positionV>
            <wp:extent cx="19284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62"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06285"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488315"/>
                    </a:xfrm>
                    <a:prstGeom prst="rect">
                      <a:avLst/>
                    </a:prstGeom>
                    <a:noFill/>
                  </pic:spPr>
                </pic:pic>
              </a:graphicData>
            </a:graphic>
          </wp:anchor>
        </w:drawing>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net cash provided by operating activities to adjusted</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EBITDA and distributable cash flow:</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30,973</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51,640</w:t>
            </w:r>
          </w:p>
        </w:tc>
      </w:tr>
      <w:tr>
        <w:trPr>
          <w:trHeight w:val="26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1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8"/>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 excluding amortization of debt issuance costs</w:t>
            </w:r>
          </w:p>
        </w:tc>
        <w:tc>
          <w:tcPr>
            <w:tcW w:w="19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62,400</w:t>
            </w: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63,073</w:t>
            </w:r>
          </w:p>
        </w:tc>
      </w:tr>
      <w:tr>
        <w:trPr>
          <w:trHeight w:val="247"/>
        </w:trPr>
        <w:tc>
          <w:tcPr>
            <w:tcW w:w="6700" w:type="dxa"/>
            <w:vAlign w:val="bottom"/>
          </w:tcPr>
          <w:p>
            <w:pPr>
              <w:ind w:left="140"/>
              <w:spacing w:after="0"/>
              <w:rPr>
                <w:sz w:val="20"/>
                <w:szCs w:val="20"/>
                <w:color w:val="auto"/>
              </w:rPr>
            </w:pPr>
            <w:r>
              <w:rPr>
                <w:rFonts w:ascii="Arial" w:cs="Arial" w:eastAsia="Arial" w:hAnsi="Arial"/>
                <w:sz w:val="18"/>
                <w:szCs w:val="18"/>
                <w:color w:val="auto"/>
              </w:rPr>
              <w:t>Income tax benefit</w:t>
            </w:r>
          </w:p>
        </w:tc>
        <w:tc>
          <w:tcPr>
            <w:tcW w:w="19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3"/>
        </w:trPr>
        <w:tc>
          <w:tcPr>
            <w:tcW w:w="6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19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11,915</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6,512</w:t>
            </w:r>
          </w:p>
        </w:tc>
      </w:tr>
      <w:tr>
        <w:trPr>
          <w:trHeight w:val="270"/>
        </w:trPr>
        <w:tc>
          <w:tcPr>
            <w:tcW w:w="6700" w:type="dxa"/>
            <w:vAlign w:val="bottom"/>
          </w:tcPr>
          <w:p>
            <w:pPr>
              <w:ind w:left="140"/>
              <w:spacing w:after="0"/>
              <w:rPr>
                <w:sz w:val="20"/>
                <w:szCs w:val="20"/>
                <w:color w:val="auto"/>
              </w:rPr>
            </w:pPr>
            <w:r>
              <w:rPr>
                <w:rFonts w:ascii="Arial" w:cs="Arial" w:eastAsia="Arial" w:hAnsi="Arial"/>
                <w:sz w:val="18"/>
                <w:szCs w:val="18"/>
                <w:color w:val="auto"/>
              </w:rPr>
              <w:t xml:space="preserve">Proportional adjusted EBITDA for equity method investees </w:t>
            </w:r>
            <w:r>
              <w:rPr>
                <w:rFonts w:ascii="Arial" w:cs="Arial" w:eastAsia="Arial" w:hAnsi="Arial"/>
                <w:sz w:val="23"/>
                <w:szCs w:val="23"/>
                <w:color w:val="auto"/>
                <w:vertAlign w:val="superscript"/>
              </w:rPr>
              <w:t>(1)</w:t>
            </w:r>
          </w:p>
        </w:tc>
        <w:tc>
          <w:tcPr>
            <w:tcW w:w="19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27,517</w:t>
            </w:r>
          </w:p>
        </w:tc>
        <w:tc>
          <w:tcPr>
            <w:tcW w:w="5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25,738</w:t>
            </w:r>
          </w:p>
        </w:tc>
      </w:tr>
      <w:tr>
        <w:trPr>
          <w:trHeight w:val="27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Adjustments related to capital reimbursement activity </w:t>
            </w:r>
            <w:r>
              <w:rPr>
                <w:rFonts w:ascii="Arial" w:cs="Arial" w:eastAsia="Arial" w:hAnsi="Arial"/>
                <w:sz w:val="23"/>
                <w:szCs w:val="23"/>
                <w:color w:val="auto"/>
                <w:vertAlign w:val="superscript"/>
              </w:rPr>
              <w:t>(2)</w:t>
            </w:r>
          </w:p>
        </w:tc>
        <w:tc>
          <w:tcPr>
            <w:tcW w:w="19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5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r>
      <w:tr>
        <w:trPr>
          <w:trHeight w:val="247"/>
        </w:trPr>
        <w:tc>
          <w:tcPr>
            <w:tcW w:w="6700" w:type="dxa"/>
            <w:vAlign w:val="bottom"/>
          </w:tcPr>
          <w:p>
            <w:pPr>
              <w:ind w:left="140"/>
              <w:spacing w:after="0"/>
              <w:rPr>
                <w:sz w:val="20"/>
                <w:szCs w:val="20"/>
                <w:color w:val="auto"/>
              </w:rPr>
            </w:pPr>
            <w:r>
              <w:rPr>
                <w:rFonts w:ascii="Arial" w:cs="Arial" w:eastAsia="Arial" w:hAnsi="Arial"/>
                <w:sz w:val="18"/>
                <w:szCs w:val="18"/>
                <w:color w:val="auto"/>
              </w:rPr>
              <w:t>Realized gain on swaps</w:t>
            </w:r>
          </w:p>
        </w:tc>
        <w:tc>
          <w:tcPr>
            <w:tcW w:w="19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(2,657)</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(2,418)</w:t>
            </w:r>
          </w:p>
        </w:tc>
      </w:tr>
      <w:tr>
        <w:trPr>
          <w:trHeight w:val="23"/>
        </w:trPr>
        <w:tc>
          <w:tcPr>
            <w:tcW w:w="6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Other, net </w:t>
            </w:r>
            <w:r>
              <w:rPr>
                <w:rFonts w:ascii="Arial" w:cs="Arial" w:eastAsia="Arial" w:hAnsi="Arial"/>
                <w:sz w:val="23"/>
                <w:szCs w:val="23"/>
                <w:color w:val="auto"/>
                <w:vertAlign w:val="superscript"/>
              </w:rPr>
              <w:t>(3)</w:t>
            </w:r>
          </w:p>
        </w:tc>
        <w:tc>
          <w:tcPr>
            <w:tcW w:w="19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14,518</w:t>
            </w:r>
          </w:p>
        </w:tc>
        <w:tc>
          <w:tcPr>
            <w:tcW w:w="5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r>
    </w:tbl>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0628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Distributions from equity method investees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Noncash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06285"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96850"/>
                    </a:xfrm>
                    <a:prstGeom prst="rect">
                      <a:avLst/>
                    </a:prstGeom>
                    <a:noFill/>
                  </pic:spPr>
                </pic:pic>
              </a:graphicData>
            </a:graphic>
          </wp:anchor>
        </w:drawing>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Adjusted EBITDA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Less: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23,659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23,904</w:t>
            </w:r>
          </w:p>
        </w:tc>
      </w:tr>
      <w:tr>
        <w:trPr>
          <w:trHeight w:val="270"/>
        </w:trPr>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1,705</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2,827</w:t>
            </w:r>
          </w:p>
        </w:tc>
      </w:tr>
      <w:tr>
        <w:trPr>
          <w:trHeight w:val="23"/>
        </w:trPr>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0"/>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113,207</w:t>
            </w:r>
          </w:p>
        </w:tc>
        <w:tc>
          <w:tcPr>
            <w:tcW w:w="8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119,038</w:t>
            </w:r>
          </w:p>
        </w:tc>
      </w:tr>
      <w:tr>
        <w:trPr>
          <w:trHeight w:val="23"/>
        </w:trPr>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ectPr>
          <w:pgSz w:w="11900" w:h="16838" w:orient="portrait"/>
          <w:cols w:equalWidth="0" w:num="2">
            <w:col w:w="7440" w:space="720"/>
            <w:col w:w="3080"/>
          </w:cols>
          <w:pgMar w:left="320" w:top="912" w:right="339" w:bottom="1440" w:gutter="0" w:footer="0" w:header="0"/>
          <w:type w:val="continuous"/>
        </w:sectPr>
      </w:pPr>
    </w:p>
    <w:tbl>
      <w:tblPr>
        <w:tblLayout w:type="fixed"/>
        <w:tblInd w:w="0" w:type="dxa"/>
        <w:tblCellMar>
          <w:top w:w="0" w:type="dxa"/>
          <w:left w:w="0" w:type="dxa"/>
          <w:bottom w:w="0" w:type="dxa"/>
          <w:right w:w="0" w:type="dxa"/>
        </w:tblCellMar>
      </w:tblPr>
      <w:tr>
        <w:trPr>
          <w:trHeight w:val="265"/>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interest paid</w:t>
            </w: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65,807</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62,587</w:t>
            </w:r>
          </w:p>
        </w:tc>
      </w:tr>
      <w:tr>
        <w:trPr>
          <w:trHeight w:val="247"/>
        </w:trPr>
        <w:tc>
          <w:tcPr>
            <w:tcW w:w="8160" w:type="dxa"/>
            <w:vAlign w:val="bottom"/>
          </w:tcPr>
          <w:p>
            <w:pPr>
              <w:ind w:left="140"/>
              <w:spacing w:after="0"/>
              <w:rPr>
                <w:sz w:val="20"/>
                <w:szCs w:val="20"/>
                <w:color w:val="auto"/>
              </w:rPr>
            </w:pPr>
            <w:r>
              <w:rPr>
                <w:rFonts w:ascii="Arial" w:cs="Arial" w:eastAsia="Arial" w:hAnsi="Arial"/>
                <w:sz w:val="18"/>
                <w:szCs w:val="18"/>
                <w:color w:val="auto"/>
              </w:rPr>
              <w:t>Cash paid for taxes</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Senior notes interest adjustment </w:t>
            </w:r>
            <w:r>
              <w:rPr>
                <w:rFonts w:ascii="Arial" w:cs="Arial" w:eastAsia="Arial" w:hAnsi="Arial"/>
                <w:sz w:val="23"/>
                <w:szCs w:val="23"/>
                <w:color w:val="auto"/>
                <w:vertAlign w:val="superscript"/>
              </w:rPr>
              <w:t>(4)</w:t>
            </w: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r>
      <w:tr>
        <w:trPr>
          <w:trHeight w:val="247"/>
        </w:trPr>
        <w:tc>
          <w:tcPr>
            <w:tcW w:w="8160" w:type="dxa"/>
            <w:vAlign w:val="bottom"/>
          </w:tcPr>
          <w:p>
            <w:pPr>
              <w:ind w:left="140"/>
              <w:spacing w:after="0"/>
              <w:rPr>
                <w:sz w:val="20"/>
                <w:szCs w:val="20"/>
                <w:color w:val="auto"/>
              </w:rPr>
            </w:pPr>
            <w:r>
              <w:rPr>
                <w:rFonts w:ascii="Arial" w:cs="Arial" w:eastAsia="Arial" w:hAnsi="Arial"/>
                <w:sz w:val="18"/>
                <w:szCs w:val="18"/>
                <w:color w:val="auto"/>
              </w:rPr>
              <w:t>Maintenance capital expenditures</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6,288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6,310</w:t>
            </w:r>
          </w:p>
        </w:tc>
      </w:tr>
      <w:tr>
        <w:trPr>
          <w:trHeight w:val="23"/>
        </w:trPr>
        <w:tc>
          <w:tcPr>
            <w:tcW w:w="8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Cash flow available for distributions </w:t>
            </w:r>
            <w:r>
              <w:rPr>
                <w:rFonts w:ascii="Arial" w:cs="Arial" w:eastAsia="Arial" w:hAnsi="Arial"/>
                <w:sz w:val="23"/>
                <w:szCs w:val="23"/>
                <w:color w:val="auto"/>
                <w:vertAlign w:val="superscript"/>
              </w:rPr>
              <w:t>(5)</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44,231</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49,308</w:t>
            </w:r>
          </w:p>
        </w:tc>
      </w:tr>
      <w:tr>
        <w:trPr>
          <w:trHeight w:val="263"/>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Less:</w:t>
            </w: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8"/>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Growth capital expenditures</w:t>
            </w: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20,632</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25,868</w:t>
            </w:r>
          </w:p>
        </w:tc>
      </w:tr>
      <w:tr>
        <w:trPr>
          <w:trHeight w:val="247"/>
        </w:trPr>
        <w:tc>
          <w:tcPr>
            <w:tcW w:w="8160" w:type="dxa"/>
            <w:vAlign w:val="bottom"/>
          </w:tcPr>
          <w:p>
            <w:pPr>
              <w:ind w:left="280"/>
              <w:spacing w:after="0"/>
              <w:rPr>
                <w:sz w:val="20"/>
                <w:szCs w:val="20"/>
                <w:color w:val="auto"/>
              </w:rPr>
            </w:pPr>
            <w:r>
              <w:rPr>
                <w:rFonts w:ascii="Arial" w:cs="Arial" w:eastAsia="Arial" w:hAnsi="Arial"/>
                <w:sz w:val="18"/>
                <w:szCs w:val="18"/>
                <w:color w:val="auto"/>
              </w:rPr>
              <w:t>Investment in equity method investee</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3"/>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Distributions on Subsidiary Series A Preferred Units</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w:t>
            </w:r>
          </w:p>
        </w:tc>
      </w:tr>
      <w:tr>
        <w:trPr>
          <w:trHeight w:val="264"/>
        </w:trPr>
        <w:tc>
          <w:tcPr>
            <w:tcW w:w="8160" w:type="dxa"/>
            <w:vAlign w:val="bottom"/>
          </w:tcPr>
          <w:p>
            <w:pPr>
              <w:ind w:left="280"/>
              <w:spacing w:after="0"/>
              <w:rPr>
                <w:sz w:val="20"/>
                <w:szCs w:val="20"/>
                <w:color w:val="auto"/>
              </w:rPr>
            </w:pPr>
            <w:r>
              <w:rPr>
                <w:rFonts w:ascii="Arial" w:cs="Arial" w:eastAsia="Arial" w:hAnsi="Arial"/>
                <w:sz w:val="18"/>
                <w:szCs w:val="18"/>
                <w:color w:val="auto"/>
              </w:rPr>
              <w:t>Free Cash Flow</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19,901</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16,684</w:t>
            </w:r>
          </w:p>
        </w:tc>
      </w:tr>
      <w:tr>
        <w:trPr>
          <w:trHeight w:val="20"/>
        </w:trPr>
        <w:tc>
          <w:tcPr>
            <w:tcW w:w="8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16" w:lineRule="exact"/>
        <w:rPr>
          <w:sz w:val="20"/>
          <w:szCs w:val="20"/>
          <w:color w:val="auto"/>
        </w:rPr>
      </w:pPr>
    </w:p>
    <w:p>
      <w:pPr>
        <w:jc w:val="both"/>
        <w:ind w:left="340" w:hanging="332"/>
        <w:spacing w:after="0" w:line="238" w:lineRule="auto"/>
        <w:tabs>
          <w:tab w:leader="none" w:pos="333"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Reflects our proportionate share of Double E and Ohio Gathering adjusted EBITDA. Summit records financial results of its investment in Ohio Gathering on a one-month lag and is based on the financial information available to us during the reporting period. With the divestiture of Ohio Gathering in March 2024, proportional adjusted EBITDA includes financial results from December 1, 2023 through March 22, 2024.</w:t>
      </w:r>
    </w:p>
    <w:p>
      <w:pPr>
        <w:spacing w:after="0" w:line="124" w:lineRule="exact"/>
        <w:rPr>
          <w:rFonts w:ascii="Arial" w:cs="Arial" w:eastAsia="Arial" w:hAnsi="Arial"/>
          <w:sz w:val="21"/>
          <w:szCs w:val="21"/>
          <w:color w:val="auto"/>
          <w:vertAlign w:val="superscript"/>
        </w:rPr>
      </w:pPr>
    </w:p>
    <w:p>
      <w:pPr>
        <w:ind w:left="340" w:hanging="332"/>
        <w:spacing w:after="0" w:line="227" w:lineRule="auto"/>
        <w:tabs>
          <w:tab w:leader="none" w:pos="333"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Adjustments related to capital reimbursement activity represent contributions in aid of construction revenue recognized in accordance with Accounting Standards Update No. 2014-09 Revenue from Contracts with Customers.</w:t>
      </w:r>
    </w:p>
    <w:p>
      <w:pPr>
        <w:spacing w:after="0" w:line="124" w:lineRule="exact"/>
        <w:rPr>
          <w:rFonts w:ascii="Arial" w:cs="Arial" w:eastAsia="Arial" w:hAnsi="Arial"/>
          <w:sz w:val="21"/>
          <w:szCs w:val="21"/>
          <w:color w:val="auto"/>
          <w:vertAlign w:val="superscript"/>
        </w:rPr>
      </w:pPr>
    </w:p>
    <w:p>
      <w:pPr>
        <w:jc w:val="both"/>
        <w:ind w:left="340" w:hanging="332"/>
        <w:spacing w:after="0" w:line="238" w:lineRule="auto"/>
        <w:tabs>
          <w:tab w:leader="none" w:pos="333"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Represents items of income or loss that we characterize as unrepresentative of our ongoing operations. For the six months ended June 30, 2024, the amount includes $13.3 million of transaction and other costs. For the six months ended June 30, 2023, the amount includes $2.2 million of integration costs, $2.1 million of transaction and other costs and $1.6 million of severance expenses.</w:t>
      </w:r>
    </w:p>
    <w:p>
      <w:pPr>
        <w:spacing w:after="0" w:line="124" w:lineRule="exact"/>
        <w:rPr>
          <w:rFonts w:ascii="Arial" w:cs="Arial" w:eastAsia="Arial" w:hAnsi="Arial"/>
          <w:sz w:val="21"/>
          <w:szCs w:val="21"/>
          <w:color w:val="auto"/>
          <w:vertAlign w:val="superscript"/>
        </w:rPr>
      </w:pPr>
    </w:p>
    <w:p>
      <w:pPr>
        <w:jc w:val="both"/>
        <w:ind w:left="340" w:hanging="332"/>
        <w:spacing w:after="0" w:line="238" w:lineRule="auto"/>
        <w:tabs>
          <w:tab w:leader="none" w:pos="333"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Senior notes interest adjustment represents the net of interest expense accrued and paid during the period. Interest on the 2025 Notes was paid in cash semi-annually in arrears on April 15 and October 15 until maturity in April 2025. Interest on the 2026 Secured Notes and 2026 Unsecured Notes was paid in cash semi-annually in arrears on April 15 and October 15 until maturity in October 2026.</w:t>
      </w:r>
    </w:p>
    <w:p>
      <w:pPr>
        <w:spacing w:after="0" w:line="124" w:lineRule="exact"/>
        <w:rPr>
          <w:rFonts w:ascii="Arial" w:cs="Arial" w:eastAsia="Arial" w:hAnsi="Arial"/>
          <w:sz w:val="21"/>
          <w:szCs w:val="21"/>
          <w:color w:val="auto"/>
          <w:vertAlign w:val="superscript"/>
        </w:rPr>
      </w:pPr>
    </w:p>
    <w:p>
      <w:pPr>
        <w:ind w:left="340" w:hanging="332"/>
        <w:spacing w:after="0" w:line="227" w:lineRule="auto"/>
        <w:tabs>
          <w:tab w:leader="none" w:pos="333"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Represents cash flow available for distribution to preferred and common unitholders. Common distributions cannot be paid unless all accrued preferred distributions are paid. Cash flow available for distributions is also referred to as Distributable Cash Flow, or DCF.</w:t>
      </w:r>
    </w:p>
    <w:p>
      <w:pPr>
        <w:sectPr>
          <w:pgSz w:w="11900" w:h="16838" w:orient="portrait"/>
          <w:cols w:equalWidth="0" w:num="1">
            <w:col w:w="11240"/>
          </w:cols>
          <w:pgMar w:left="320" w:top="9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91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Contact: 832-413-4770, ir@summitmidstream.com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SOURCE: Summit Midstream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15</w:t>
      </w:r>
    </w:p>
    <w:sectPr>
      <w:pgSz w:w="11900" w:h="16838" w:orient="portrait"/>
      <w:cols w:equalWidth="0" w:num="1">
        <w:col w:w="10139"/>
      </w:cols>
      <w:pgMar w:left="320" w:top="9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o"/>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Letter"/>
      <w:start w:val="4"/>
    </w:lvl>
  </w:abstractNum>
  <w:abstractNum w:abstractNumId="3">
    <w:nsid w:val="66EF438D"/>
    <w:multiLevelType w:val="hybridMultilevel"/>
    <w:lvl w:ilvl="0">
      <w:lvlJc w:val="left"/>
      <w:lvlText w:val="%1"/>
      <w:numFmt w:val="decimal"/>
      <w:start w:val="104"/>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5"/>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2024-08-09T07:34:14Z</dcterms:created>
  <dcterms:modified xsi:type="dcterms:W3CDTF">2024-08-09T07:34:14Z</dcterms:modified>
</cp:coreProperties>
</file>